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57"/>
        <w:rPr>
          <w:lang w:val="en-US"/>
        </w:rPr>
      </w:pPr>
      <w:r/>
      <w:bookmarkStart w:id="0" w:name="_Toc108532179"/>
      <w:r/>
      <w:bookmarkStart w:id="1" w:name="_Toc139273517"/>
      <w:r/>
      <w:bookmarkStart w:id="2" w:name="_Toc139276187"/>
      <w:r/>
      <w:bookmarkStart w:id="3" w:name="_Toc139279463"/>
      <w:r/>
      <w:bookmarkStart w:id="4" w:name="_GoBack"/>
      <w:r/>
      <w:r>
        <w:rPr>
          <w:lang w:val="en-US"/>
        </w:rPr>
      </w:r>
    </w:p>
    <w:p>
      <w:pPr>
        <w:pStyle w:val="1057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057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057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057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057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057"/>
      </w:pPr>
      <w:r>
        <w:t xml:space="preserve">Государственная интегрированная информационная система управления общественными финансами «Электронный бюджет»</w:t>
      </w:r>
      <w:r/>
    </w:p>
    <w:p>
      <w:pPr>
        <w:pStyle w:val="1057"/>
      </w:pPr>
      <w:r/>
      <w:r/>
    </w:p>
    <w:p>
      <w:pPr>
        <w:pStyle w:val="1057"/>
      </w:pPr>
      <w:r>
        <w:t xml:space="preserve">Единый портал бюджетной системы Российской Федерации</w:t>
      </w:r>
      <w:r/>
    </w:p>
    <w:p>
      <w:pPr>
        <w:pStyle w:val="1057"/>
        <w:rPr>
          <w:bCs/>
          <w:sz w:val="32"/>
          <w:szCs w:val="32"/>
        </w:rPr>
      </w:pPr>
      <w:r>
        <w:rPr>
          <w:bCs/>
          <w:sz w:val="32"/>
          <w:szCs w:val="32"/>
        </w:rPr>
      </w:r>
      <w:r>
        <w:rPr>
          <w:bCs/>
          <w:sz w:val="32"/>
          <w:szCs w:val="32"/>
        </w:rPr>
      </w:r>
    </w:p>
    <w:p>
      <w:pPr>
        <w:pStyle w:val="1057"/>
        <w:rPr>
          <w:bCs/>
          <w:sz w:val="32"/>
          <w:szCs w:val="32"/>
        </w:rPr>
      </w:pPr>
      <w:r>
        <w:rPr>
          <w:bCs/>
          <w:sz w:val="32"/>
          <w:szCs w:val="32"/>
        </w:rPr>
      </w:r>
      <w:r>
        <w:rPr>
          <w:bCs/>
          <w:sz w:val="32"/>
          <w:szCs w:val="32"/>
        </w:rPr>
      </w:r>
    </w:p>
    <w:p>
      <w:pPr>
        <w:pStyle w:val="1057"/>
        <w:rPr>
          <w:bCs/>
          <w:sz w:val="32"/>
          <w:szCs w:val="32"/>
        </w:rPr>
      </w:pPr>
      <w:r>
        <w:rPr>
          <w:bCs/>
          <w:sz w:val="32"/>
          <w:szCs w:val="32"/>
        </w:rPr>
      </w:r>
      <w:r>
        <w:rPr>
          <w:bCs/>
          <w:sz w:val="32"/>
          <w:szCs w:val="32"/>
        </w:rPr>
      </w:r>
    </w:p>
    <w:p>
      <w:pPr>
        <w:pStyle w:val="1058"/>
        <w:rPr>
          <w:rFonts w:eastAsia="Century Gothic"/>
        </w:rPr>
      </w:pPr>
      <w:r>
        <w:rPr>
          <w:rFonts w:eastAsia="Century Gothic"/>
        </w:rPr>
        <w:t xml:space="preserve">Инструкция по работе с единым порталом в части работы с документами формуляров по формированию сведений о бюджетных кредитах на инфраструктурные проекты для финансовых органов муниципальных образований</w:t>
      </w:r>
      <w:r>
        <w:rPr>
          <w:rFonts w:eastAsia="Century Gothic"/>
        </w:rPr>
      </w:r>
    </w:p>
    <w:p>
      <w:pPr>
        <w:pStyle w:val="1058"/>
        <w:rPr>
          <w:rFonts w:eastAsia="Century Gothic"/>
          <w:sz w:val="32"/>
          <w:szCs w:val="32"/>
        </w:rPr>
      </w:pPr>
      <w:r>
        <w:rPr>
          <w:rFonts w:eastAsia="Century Gothic"/>
        </w:rPr>
        <w:tab/>
      </w:r>
      <w:r>
        <w:rPr>
          <w:rFonts w:eastAsia="Century Gothic"/>
          <w:sz w:val="32"/>
          <w:szCs w:val="32"/>
        </w:rPr>
      </w:r>
    </w:p>
    <w:p>
      <w:pPr>
        <w:pStyle w:val="1057"/>
        <w:rPr>
          <w:rFonts w:eastAsia="Century Gothic"/>
          <w:sz w:val="32"/>
          <w:szCs w:val="32"/>
        </w:rPr>
      </w:pPr>
      <w:r>
        <w:rPr>
          <w:rFonts w:eastAsia="Century Gothic"/>
          <w:sz w:val="32"/>
          <w:szCs w:val="32"/>
        </w:rPr>
      </w:r>
      <w:r>
        <w:rPr>
          <w:rFonts w:eastAsia="Century Gothic"/>
          <w:sz w:val="32"/>
          <w:szCs w:val="32"/>
        </w:rPr>
      </w:r>
    </w:p>
    <w:p>
      <w:pPr>
        <w:pStyle w:val="1057"/>
        <w:rPr>
          <w:rFonts w:eastAsia="Century Gothic"/>
          <w:sz w:val="32"/>
          <w:szCs w:val="32"/>
        </w:rPr>
      </w:pPr>
      <w:r>
        <w:rPr>
          <w:rFonts w:eastAsia="Century Gothic"/>
          <w:sz w:val="32"/>
          <w:szCs w:val="32"/>
        </w:rPr>
      </w:r>
      <w:r>
        <w:rPr>
          <w:rFonts w:eastAsia="Century Gothic"/>
          <w:sz w:val="32"/>
          <w:szCs w:val="32"/>
        </w:rPr>
      </w:r>
    </w:p>
    <w:p>
      <w:pPr>
        <w:pStyle w:val="1057"/>
        <w:rPr>
          <w:rFonts w:eastAsia="Century Gothic"/>
          <w:sz w:val="32"/>
          <w:szCs w:val="32"/>
        </w:rPr>
      </w:pPr>
      <w:r>
        <w:rPr>
          <w:rFonts w:eastAsia="Century Gothic"/>
          <w:sz w:val="32"/>
          <w:szCs w:val="32"/>
        </w:rPr>
      </w:r>
      <w:r>
        <w:rPr>
          <w:rFonts w:eastAsia="Century Gothic"/>
          <w:sz w:val="32"/>
          <w:szCs w:val="32"/>
        </w:rPr>
      </w:r>
    </w:p>
    <w:p>
      <w:pPr>
        <w:pStyle w:val="1057"/>
        <w:rPr>
          <w:rFonts w:eastAsia="Century Gothic"/>
          <w:sz w:val="32"/>
          <w:szCs w:val="32"/>
        </w:rPr>
      </w:pPr>
      <w:r>
        <w:rPr>
          <w:rFonts w:eastAsia="Century Gothic"/>
          <w:sz w:val="32"/>
          <w:szCs w:val="32"/>
        </w:rPr>
      </w:r>
      <w:r>
        <w:rPr>
          <w:rFonts w:eastAsia="Century Gothic"/>
          <w:sz w:val="32"/>
          <w:szCs w:val="32"/>
        </w:rPr>
      </w:r>
    </w:p>
    <w:p>
      <w:pPr>
        <w:pStyle w:val="1055"/>
        <w:rPr>
          <w:rFonts w:eastAsia="Century Gothic"/>
        </w:rPr>
      </w:pPr>
      <w:r>
        <w:t xml:space="preserve">Листов: </w:t>
      </w:r>
      <w:bookmarkEnd w:id="0"/>
      <w:r/>
      <w:bookmarkEnd w:id="1"/>
      <w:r/>
      <w:bookmarkEnd w:id="2"/>
      <w:r/>
      <w:bookmarkEnd w:id="3"/>
      <w:r>
        <w:fldChar w:fldCharType="begin"/>
      </w:r>
      <w:r>
        <w:instrText xml:space="preserve"> PAGEREF str \h </w:instrText>
      </w:r>
      <w:r>
        <w:fldChar w:fldCharType="separate"/>
      </w:r>
      <w:r>
        <w:t xml:space="preserve">14</w:t>
      </w:r>
      <w:r>
        <w:fldChar w:fldCharType="end"/>
      </w:r>
      <w:r>
        <w:rPr>
          <w:rFonts w:eastAsia="Century Gothic"/>
        </w:rPr>
      </w:r>
    </w:p>
    <w:p>
      <w:r/>
      <w:r/>
    </w:p>
    <w:p>
      <w:p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  <w:titlePg/>
        </w:sectPr>
      </w:pPr>
      <w:r/>
      <w:r/>
    </w:p>
    <w:p>
      <w:pPr>
        <w:pStyle w:val="1060"/>
        <w:ind w:firstLine="709"/>
        <w:spacing w:before="240" w:after="240"/>
      </w:pPr>
      <w:r>
        <w:t xml:space="preserve">Содержание</w:t>
      </w:r>
      <w:r/>
    </w:p>
    <w:p>
      <w:pPr>
        <w:pStyle w:val="1041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>
        <w:fldChar w:fldCharType="begin"/>
      </w:r>
      <w:r>
        <w:instrText xml:space="preserve"> TOC \o "2-3" \h \z \t "Заголовок 1;1" </w:instrText>
      </w:r>
      <w:r>
        <w:fldChar w:fldCharType="separate"/>
      </w:r>
      <w:hyperlink w:tooltip="#_Toc236664881" w:anchor="_Toc236664881" w:history="1">
        <w:r>
          <w:rPr>
            <w:rStyle w:val="1030"/>
          </w:rPr>
          <w:t xml:space="preserve">Полезная информация</w:t>
        </w:r>
        <w:r>
          <w:tab/>
        </w:r>
        <w:r>
          <w:fldChar w:fldCharType="begin"/>
        </w:r>
        <w:r>
          <w:instrText xml:space="preserve"> PAGEREF _Toc236664881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1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2" w:anchor="_Toc236664882" w:history="1">
        <w:r>
          <w:rPr>
            <w:rStyle w:val="1030"/>
          </w:rPr>
          <w:t xml:space="preserve">Перечень сокращений</w:t>
        </w:r>
        <w:r>
          <w:tab/>
        </w:r>
        <w:r>
          <w:fldChar w:fldCharType="begin"/>
        </w:r>
        <w:r>
          <w:instrText xml:space="preserve"> PAGEREF _Toc236664882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1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3" w:anchor="_Toc236664883" w:history="1">
        <w:r>
          <w:rPr>
            <w:rStyle w:val="1030"/>
          </w:rPr>
          <w:t xml:space="preserve">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Роли пользователей, назначаемые в ПОИБ СОБИ ФК</w:t>
        </w:r>
        <w:r>
          <w:tab/>
        </w:r>
        <w:r>
          <w:fldChar w:fldCharType="begin"/>
        </w:r>
        <w:r>
          <w:instrText xml:space="preserve"> PAGEREF _Toc236664883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1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4" w:anchor="_Toc236664884" w:history="1">
        <w:r>
          <w:rPr>
            <w:rStyle w:val="1030"/>
            <w:rFonts w:eastAsia="Century Gothic"/>
          </w:rPr>
          <w:t xml:space="preserve">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Формирование </w:t>
        </w:r>
        <w:r>
          <w:rPr>
            <w:rStyle w:val="1030"/>
            <w:rFonts w:eastAsia="Century Gothic"/>
          </w:rPr>
          <w:t xml:space="preserve">сведений о бюджетных кредитах на инфраструктурные проекты</w:t>
        </w:r>
        <w:r>
          <w:tab/>
        </w:r>
        <w:r>
          <w:fldChar w:fldCharType="begin"/>
        </w:r>
        <w:r>
          <w:instrText xml:space="preserve"> PAGEREF _Toc236664884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2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5" w:anchor="_Toc236664885" w:history="1">
        <w:r>
          <w:rPr>
            <w:rStyle w:val="1030"/>
          </w:rPr>
          <w:t xml:space="preserve">2.1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Работа сотрудников финансовых органов МО в Личном кабинете ЕПБС</w:t>
        </w:r>
        <w:r>
          <w:tab/>
        </w:r>
        <w:r>
          <w:fldChar w:fldCharType="begin"/>
        </w:r>
        <w:r>
          <w:instrText xml:space="preserve"> PAGEREF _Toc236664885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18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6" w:anchor="_Toc236664886" w:history="1">
        <w:r>
          <w:rPr>
            <w:rStyle w:val="1030"/>
          </w:rPr>
          <w:t xml:space="preserve">2.1.1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Общие сведения</w:t>
        </w:r>
        <w:r>
          <w:tab/>
        </w:r>
        <w:r>
          <w:fldChar w:fldCharType="begin"/>
        </w:r>
        <w:r>
          <w:instrText xml:space="preserve"> PAGEREF _Toc236664886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18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7" w:anchor="_Toc236664887" w:history="1">
        <w:r>
          <w:rPr>
            <w:rStyle w:val="1030"/>
          </w:rPr>
          <w:t xml:space="preserve">2.1.2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Таблица  «Казначейские инфраструктурные кредиты»</w:t>
        </w:r>
        <w:r>
          <w:tab/>
        </w:r>
        <w:r>
          <w:fldChar w:fldCharType="begin"/>
        </w:r>
        <w:r>
          <w:instrText xml:space="preserve"> PAGEREF _Toc236664887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18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8" w:anchor="_Toc236664888" w:history="1">
        <w:r>
          <w:rPr>
            <w:rStyle w:val="1030"/>
          </w:rPr>
          <w:t xml:space="preserve">2.1.3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Таблица «Инфраструктурные бюджетные кредиты, специальные казначейские кредиты»</w:t>
        </w:r>
        <w:r>
          <w:tab/>
        </w:r>
        <w:r>
          <w:fldChar w:fldCharType="begin"/>
        </w:r>
        <w:r>
          <w:instrText xml:space="preserve"> PAGEREF _Toc236664888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1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89" w:anchor="_Toc236664889" w:history="1">
        <w:r>
          <w:rPr>
            <w:rStyle w:val="1030"/>
          </w:rPr>
          <w:t xml:space="preserve">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Размещение сведений о бюджетных кредитах на инфраструктурные проекты</w:t>
        </w:r>
        <w:r>
          <w:tab/>
        </w:r>
        <w:r>
          <w:fldChar w:fldCharType="begin"/>
        </w:r>
        <w:r>
          <w:instrText xml:space="preserve"> PAGEREF _Toc236664889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2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90" w:anchor="_Toc236664890" w:history="1">
        <w:r>
          <w:rPr>
            <w:rStyle w:val="1030"/>
          </w:rPr>
          <w:t xml:space="preserve">3.1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Согласование и утверждение набора данных</w:t>
        </w:r>
        <w:r>
          <w:tab/>
        </w:r>
        <w:r>
          <w:fldChar w:fldCharType="begin"/>
        </w:r>
        <w:r>
          <w:instrText xml:space="preserve"> PAGEREF _Toc236664890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2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91" w:anchor="_Toc236664891" w:history="1">
        <w:r>
          <w:rPr>
            <w:rStyle w:val="1030"/>
          </w:rPr>
          <w:t xml:space="preserve">3.2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Обработка набора данных</w:t>
        </w:r>
        <w:r>
          <w:tab/>
        </w:r>
        <w:r>
          <w:fldChar w:fldCharType="begin"/>
        </w:r>
        <w:r>
          <w:instrText xml:space="preserve"> PAGEREF _Toc236664891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pPr>
        <w:pStyle w:val="1042"/>
        <w:rPr>
          <w:rFonts w:asciiTheme="minorHAnsi" w:hAnsiTheme="minorHAnsi" w:eastAsiaTheme="minorEastAsia" w:cstheme="minorBidi"/>
          <w:sz w:val="22"/>
          <w:szCs w:val="22"/>
          <w:lang w:eastAsia="ru-RU"/>
        </w:rPr>
      </w:pPr>
      <w:r/>
      <w:hyperlink w:tooltip="#_Toc236664892" w:anchor="_Toc236664892" w:history="1">
        <w:r>
          <w:rPr>
            <w:rStyle w:val="1030"/>
          </w:rPr>
          <w:t xml:space="preserve">3.3</w:t>
        </w:r>
        <w:r>
          <w:rPr>
            <w:rFonts w:asciiTheme="minorHAnsi" w:hAnsiTheme="minorHAnsi" w:eastAsiaTheme="minorEastAsia" w:cstheme="minorBidi"/>
            <w:sz w:val="22"/>
            <w:szCs w:val="22"/>
            <w:lang w:eastAsia="ru-RU"/>
          </w:rPr>
          <w:tab/>
        </w:r>
        <w:r>
          <w:rPr>
            <w:rStyle w:val="1030"/>
          </w:rPr>
          <w:t xml:space="preserve">Копирование документов по </w:t>
        </w:r>
        <w:r>
          <w:rPr>
            <w:rStyle w:val="1030"/>
            <w:rFonts w:eastAsia="Century Gothic"/>
          </w:rPr>
          <w:t xml:space="preserve">сведениям о бюджетных кредитах на инфраструктурные проекты</w:t>
        </w:r>
        <w:r>
          <w:tab/>
        </w:r>
        <w:r>
          <w:fldChar w:fldCharType="begin"/>
        </w:r>
        <w:r>
          <w:instrText xml:space="preserve"> PAGEREF _Toc236664892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  <w:lang w:eastAsia="ru-RU"/>
        </w:rPr>
      </w:r>
    </w:p>
    <w:p>
      <w:r>
        <w:rPr>
          <w:rFonts w:cs="Times New Roman"/>
          <w:szCs w:val="28"/>
        </w:rPr>
        <w:fldChar w:fldCharType="end"/>
      </w:r>
      <w:r>
        <w:br w:type="page" w:clear="all"/>
      </w:r>
      <w:bookmarkStart w:id="5" w:name="_Toc184820213"/>
      <w:r/>
      <w:bookmarkStart w:id="6" w:name="_Toc184820281"/>
      <w:r/>
      <w:bookmarkStart w:id="7" w:name="_Toc185321385"/>
      <w:r/>
      <w:r/>
    </w:p>
    <w:p>
      <w:pPr>
        <w:pStyle w:val="807"/>
        <w:numPr>
          <w:ilvl w:val="0"/>
          <w:numId w:val="0"/>
        </w:numPr>
        <w:tabs>
          <w:tab w:val="clear" w:pos="1134" w:leader="none"/>
        </w:tabs>
      </w:pPr>
      <w:r/>
      <w:bookmarkStart w:id="8" w:name="_Toc192083289"/>
      <w:r/>
      <w:bookmarkStart w:id="9" w:name="_Toc236664881"/>
      <w:r>
        <w:t xml:space="preserve">Полезная информация</w:t>
      </w:r>
      <w:bookmarkEnd w:id="8"/>
      <w:r/>
      <w:bookmarkEnd w:id="9"/>
      <w:r/>
      <w:r/>
    </w:p>
    <w:p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Регистрация в ПОИБ СОБИ ФК: </w:t>
      </w:r>
      <w:hyperlink r:id="rId12" w:tooltip="https://roskazna.gov.ru/gis/sistema-obespecheniya-bezopasnosti-informacii-fk/poib-sobi-pamyatki-instrukcii" w:history="1">
        <w:r>
          <w:rPr>
            <w:rStyle w:val="1030"/>
            <w:rFonts w:cs="Times New Roman"/>
            <w:szCs w:val="28"/>
          </w:rPr>
          <w:t xml:space="preserve">https://roskazna.gov.ru/gis/sistema-obespecheniya-bezopasnosti-informacii-fk/poib-sobi-pamyatki-instrukcii</w:t>
        </w:r>
      </w:hyperlink>
      <w:r/>
      <w:r>
        <w:rPr>
          <w:rFonts w:cs="Times New Roman"/>
          <w:szCs w:val="28"/>
        </w:rPr>
      </w:r>
    </w:p>
    <w:p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Настройка автоматизированного рабочего места для регистрации пользователя в ПОИБ СОБИ ФК: </w:t>
      </w:r>
      <w:hyperlink r:id="rId13" w:tooltip="https://roskazna.gov.ru/storage/page-files/678/Руководство%20пользователя%20АРМ.docx%23" w:history="1">
        <w:r>
          <w:rPr>
            <w:rStyle w:val="1030"/>
            <w:rFonts w:cs="Times New Roman"/>
            <w:szCs w:val="28"/>
          </w:rPr>
          <w:t xml:space="preserve">https://roskazna.gov.ru/storage/page-files/678/Руководство%20пользователя%20АРМ.docx#</w:t>
        </w:r>
      </w:hyperlink>
      <w:r/>
      <w:r>
        <w:rPr>
          <w:rFonts w:cs="Times New Roman"/>
          <w:szCs w:val="28"/>
        </w:rPr>
      </w:r>
    </w:p>
    <w:p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Вход и регистрация пользователя в ПОИБ СОБИ ФК и в информационных системах, оператором которых является Федеральное казначейство, осуществляется в соответствии с Руководствами пользователя, размещенными по ссылке (в зависимости от функциональной роли): </w:t>
      </w:r>
      <w:hyperlink r:id="rId14" w:tooltip="https://roskazna.gov.ru/gis/sistema-obespecheniya-bezopasnosti-informacii-fk/poib-sobi-pamyatki-instrukcii" w:history="1">
        <w:r>
          <w:rPr>
            <w:rStyle w:val="1030"/>
            <w:rFonts w:cs="Times New Roman"/>
            <w:szCs w:val="28"/>
          </w:rPr>
          <w:t xml:space="preserve">https://roskazna.gov.ru/gis/sistema-obespecheniya-bezopasnosti-informacii-fk/poib-sobi-pamyatki-instrukcii</w:t>
        </w:r>
      </w:hyperlink>
      <w:r/>
      <w:r>
        <w:rPr>
          <w:rFonts w:cs="Times New Roman"/>
          <w:szCs w:val="28"/>
        </w:rPr>
      </w:r>
    </w:p>
    <w:p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возникающим вопросам технического характера, просим обращаться в техническую поддержку ГИС «Электронный бюджет» по телефону Горячей линии: +7 (800) 30-10-777 и по электронной почте: </w:t>
      </w:r>
      <w:hyperlink r:id="rId15" w:tooltip="mailto:support_eb@roskazna.ru" w:history="1">
        <w:r>
          <w:rPr>
            <w:rStyle w:val="1030"/>
            <w:rFonts w:cs="Times New Roman"/>
            <w:szCs w:val="28"/>
          </w:rPr>
          <w:t xml:space="preserve">support_eb@roskazna.ru</w:t>
        </w:r>
      </w:hyperlink>
      <w:r/>
      <w:r>
        <w:rPr>
          <w:rFonts w:cs="Times New Roman"/>
          <w:szCs w:val="28"/>
        </w:rPr>
      </w:r>
    </w:p>
    <w:p>
      <w:pPr>
        <w:numPr>
          <w:ilvl w:val="0"/>
          <w:numId w:val="3"/>
        </w:numPr>
        <w:jc w:val="both"/>
        <w:rPr>
          <w:rStyle w:val="1030"/>
          <w:rFonts w:cs="Times New Roman"/>
          <w:szCs w:val="28"/>
        </w:rPr>
      </w:pPr>
      <w:r>
        <w:rPr>
          <w:rFonts w:cs="Times New Roman"/>
          <w:szCs w:val="28"/>
        </w:rPr>
        <w:t xml:space="preserve">Руководство пользователя по функционалу будет доступно на сайте </w:t>
      </w:r>
      <w:r>
        <w:rPr>
          <w:rFonts w:cs="Times New Roman"/>
          <w:szCs w:val="28"/>
        </w:rPr>
        <w:t xml:space="preserve">Росказны</w:t>
      </w:r>
      <w:r>
        <w:rPr>
          <w:rFonts w:cs="Times New Roman"/>
          <w:szCs w:val="28"/>
        </w:rPr>
        <w:t xml:space="preserve"> в разделе: </w:t>
      </w:r>
      <w:hyperlink r:id="rId16" w:tooltip="https://roskazna.gov.ru/gis/ehlektronnyj-byudzhet/edinyj-portal-byudzhetnoj-sistemy-rf" w:history="1">
        <w:r>
          <w:rPr>
            <w:rStyle w:val="1030"/>
            <w:rFonts w:cs="Times New Roman"/>
            <w:szCs w:val="28"/>
          </w:rPr>
          <w:t xml:space="preserve">https://roskazna.gov.ru/gis/ehlektronnyj-byudzhet/edinyj-portal-byudzhetnoj-sistemy-rf</w:t>
        </w:r>
      </w:hyperlink>
      <w:r/>
      <w:r>
        <w:rPr>
          <w:rStyle w:val="1030"/>
          <w:rFonts w:cs="Times New Roman"/>
          <w:szCs w:val="28"/>
        </w:rPr>
      </w:r>
    </w:p>
    <w:p>
      <w:r>
        <w:rPr>
          <w:rStyle w:val="1030"/>
          <w:rFonts w:cs="Times New Roman"/>
          <w:szCs w:val="28"/>
        </w:rPr>
        <w:br w:type="page" w:clear="all"/>
      </w:r>
      <w:r/>
    </w:p>
    <w:p>
      <w:pPr>
        <w:pStyle w:val="807"/>
        <w:numPr>
          <w:ilvl w:val="0"/>
          <w:numId w:val="0"/>
        </w:numPr>
        <w:tabs>
          <w:tab w:val="clear" w:pos="1134" w:leader="none"/>
        </w:tabs>
      </w:pPr>
      <w:r/>
      <w:bookmarkStart w:id="10" w:name="_Toc185321386"/>
      <w:r/>
      <w:bookmarkStart w:id="11" w:name="_Toc236664882"/>
      <w:r/>
      <w:bookmarkEnd w:id="5"/>
      <w:r/>
      <w:bookmarkEnd w:id="6"/>
      <w:r/>
      <w:bookmarkEnd w:id="7"/>
      <w:r>
        <w:t xml:space="preserve">Перечень сокращений</w:t>
      </w:r>
      <w:bookmarkEnd w:id="10"/>
      <w:r/>
      <w:bookmarkEnd w:id="11"/>
      <w:r/>
      <w:r/>
    </w:p>
    <w:tbl>
      <w:tblPr>
        <w:tblStyle w:val="1037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>
        <w:tblPrEx/>
        <w:trPr>
          <w:trHeight w:val="454"/>
        </w:trPr>
        <w:tc>
          <w:tcPr>
            <w:shd w:val="clear" w:color="auto" w:fill="d9d9d9" w:themeFill="background1" w:themeFillShade="D9"/>
            <w:tcW w:w="3227" w:type="dxa"/>
            <w:vAlign w:val="center"/>
            <w:textDirection w:val="lrTb"/>
            <w:noWrap w:val="false"/>
          </w:tcPr>
          <w:p>
            <w:pPr>
              <w:pStyle w:val="1038"/>
              <w:rPr>
                <w:b/>
              </w:rPr>
            </w:pPr>
            <w:r>
              <w:rPr>
                <w:b/>
              </w:rPr>
              <w:t xml:space="preserve">Наименование термина</w:t>
            </w:r>
            <w:r>
              <w:rPr>
                <w:b/>
              </w:rPr>
            </w:r>
          </w:p>
        </w:tc>
        <w:tc>
          <w:tcPr>
            <w:shd w:val="clear" w:color="auto" w:fill="d9d9d9" w:themeFill="background1" w:themeFillShade="D9"/>
            <w:tcW w:w="6344" w:type="dxa"/>
            <w:vAlign w:val="center"/>
            <w:textDirection w:val="lrTb"/>
            <w:noWrap w:val="false"/>
          </w:tcPr>
          <w:p>
            <w:pPr>
              <w:pStyle w:val="1038"/>
              <w:rPr>
                <w:b/>
              </w:rPr>
            </w:pPr>
            <w:r>
              <w:rPr>
                <w:b/>
              </w:rPr>
              <w:t xml:space="preserve">Определение</w:t>
            </w:r>
            <w:r>
              <w:rPr>
                <w:b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vMerge w:val="restart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ГРБС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vMerge w:val="restart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Главный распорядитель бюджетных средств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ЕПБС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Единый портал бюджетной системы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ПБС</w:t>
            </w:r>
            <w:r>
              <w:rPr>
                <w:sz w:val="24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Получатель бюджетных средств</w:t>
            </w:r>
            <w:r>
              <w:rPr>
                <w:sz w:val="24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ПОИБ СОБИ ФК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eastAsia="en-US"/>
              </w:rPr>
              <w:t xml:space="preserve">Подсистема </w:t>
            </w:r>
            <w:r>
              <w:rPr>
                <w:sz w:val="24"/>
                <w:szCs w:val="22"/>
                <w:lang w:eastAsia="en-US"/>
              </w:rPr>
              <w:t xml:space="preserve">обеспечения информационной безопасности документов системы обеспечения безопасности информации Федерального казначейства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РФ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Российская Федерация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СБР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Сводная бюджетная роспись</w:t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textDirection w:val="lrTb"/>
            <w:noWrap w:val="false"/>
          </w:tcPr>
          <w:p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ФК</w:t>
            </w:r>
            <w:r>
              <w:rPr>
                <w:sz w:val="24"/>
              </w:rPr>
            </w:r>
          </w:p>
        </w:tc>
        <w:tc>
          <w:tcPr>
            <w:tcW w:w="6344" w:type="dxa"/>
            <w:textDirection w:val="lrTb"/>
            <w:noWrap w:val="false"/>
          </w:tcPr>
          <w:p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Федеральное казначейство</w:t>
            </w:r>
            <w:r>
              <w:rPr>
                <w:sz w:val="24"/>
              </w:rPr>
            </w:r>
          </w:p>
        </w:tc>
      </w:tr>
      <w:tr>
        <w:tblPrEx/>
        <w:trPr>
          <w:trHeight w:val="454"/>
        </w:trPr>
        <w:tc>
          <w:tcPr>
            <w:tcW w:w="3227" w:type="dxa"/>
            <w:vMerge w:val="restart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Финансовый орган МО</w:t>
            </w:r>
            <w:r>
              <w:rPr>
                <w:sz w:val="24"/>
                <w:szCs w:val="22"/>
              </w:rPr>
            </w:r>
          </w:p>
        </w:tc>
        <w:tc>
          <w:tcPr>
            <w:tcW w:w="6344" w:type="dxa"/>
            <w:vMerge w:val="restart"/>
            <w:textDirection w:val="lrTb"/>
            <w:noWrap w:val="false"/>
          </w:tcPr>
          <w:p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Финансовый орган муниципального образования</w:t>
            </w:r>
            <w:r>
              <w:rPr>
                <w:sz w:val="24"/>
                <w:szCs w:val="22"/>
              </w:rPr>
            </w:r>
          </w:p>
        </w:tc>
      </w:tr>
    </w:tbl>
    <w:p>
      <w:r/>
      <w:bookmarkStart w:id="12" w:name="_Toc185321388"/>
      <w:r>
        <w:br w:type="page" w:clear="all"/>
      </w:r>
      <w:r/>
    </w:p>
    <w:p>
      <w:pPr>
        <w:pStyle w:val="807"/>
      </w:pPr>
      <w:r/>
      <w:bookmarkStart w:id="13" w:name="_Ref190762888"/>
      <w:r/>
      <w:bookmarkStart w:id="14" w:name="_Toc192083291"/>
      <w:r/>
      <w:bookmarkStart w:id="15" w:name="_Toc181181434"/>
      <w:r/>
      <w:bookmarkStart w:id="16" w:name="_Toc236664883"/>
      <w:r/>
      <w:bookmarkEnd w:id="12"/>
      <w:r>
        <w:t xml:space="preserve">Роли пользователей, назначаемые в ПОИБ СОБИ ФК</w:t>
      </w:r>
      <w:bookmarkEnd w:id="13"/>
      <w:r/>
      <w:bookmarkEnd w:id="14"/>
      <w:r/>
      <w:bookmarkEnd w:id="16"/>
      <w:r/>
      <w:r/>
    </w:p>
    <w:p>
      <w:pPr>
        <w:pStyle w:val="1031"/>
      </w:pPr>
      <w:r>
        <w:t xml:space="preserve">Для выполнения действий с формулярами для формирования </w:t>
      </w:r>
      <w:r>
        <w:rPr>
          <w:rFonts w:eastAsia="Century Gothic"/>
        </w:rPr>
        <w:t xml:space="preserve">сведений о бюджетных кредитах на инфраструктурные проекты</w:t>
      </w:r>
      <w:r>
        <w:t xml:space="preserve"> пользователям должны быть назначены необходимые роли в ПОИБ СОБИ ФК</w:t>
      </w:r>
      <w:r>
        <w:rPr>
          <w:szCs w:val="24"/>
        </w:rPr>
        <w:t xml:space="preserve">. </w:t>
      </w:r>
      <w:r/>
    </w:p>
    <w:p>
      <w:pPr>
        <w:pStyle w:val="1031"/>
      </w:pPr>
      <w:r>
        <w:rPr>
          <w:szCs w:val="24"/>
        </w:rPr>
        <w:t xml:space="preserve">Роли доступа </w:t>
      </w:r>
      <w:r>
        <w:t xml:space="preserve">для пользователей </w:t>
      </w:r>
      <w:r>
        <w:rPr>
          <w:color w:val="auto"/>
        </w:rPr>
        <w:t xml:space="preserve">финансовых органов</w:t>
      </w:r>
      <w:r>
        <w:t xml:space="preserve"> местного самоуправления муниципального образования расположены в таблице </w:t>
      </w:r>
      <w:r>
        <w:fldChar w:fldCharType="begin"/>
      </w:r>
      <w:r>
        <w:instrText xml:space="preserve"> REF _Ref231198018 \h \# \0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r/>
    </w:p>
    <w:p>
      <w:pPr>
        <w:pStyle w:val="1043"/>
        <w:rPr>
          <w:szCs w:val="28"/>
        </w:rPr>
      </w:pPr>
      <w:r/>
      <w:bookmarkStart w:id="17" w:name="_Ref231198018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 xml:space="preserve">1</w:t>
      </w:r>
      <w:r>
        <w:fldChar w:fldCharType="end"/>
      </w:r>
      <w:bookmarkEnd w:id="17"/>
      <w:r>
        <w:t xml:space="preserve"> - Роли пользо</w:t>
      </w:r>
      <w:r>
        <w:rPr>
          <w:szCs w:val="28"/>
        </w:rPr>
        <w:t xml:space="preserve">вателей финансового органа МО.</w:t>
      </w:r>
      <w:r>
        <w:rPr>
          <w:szCs w:val="28"/>
        </w:rPr>
      </w:r>
    </w:p>
    <w:tbl>
      <w:tblPr>
        <w:tblStyle w:val="103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785"/>
      </w:tblGrid>
      <w:tr>
        <w:tblPrEx/>
        <w:trPr>
          <w:tblHeader/>
        </w:trPr>
        <w:tc>
          <w:tcPr>
            <w:gridSpan w:val="2"/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3" w:type="dxa"/>
            <w:textDirection w:val="lrTb"/>
            <w:noWrap w:val="false"/>
          </w:tcPr>
          <w:p>
            <w:pPr>
              <w:pStyle w:val="1038"/>
              <w:rPr>
                <w:b/>
              </w:rPr>
            </w:pPr>
            <w:r>
              <w:rPr>
                <w:b/>
              </w:rPr>
              <w:t xml:space="preserve">Формирование информации сотрудниками </w:t>
            </w:r>
            <w:r>
              <w:rPr>
                <w:b/>
              </w:rPr>
            </w:r>
          </w:p>
        </w:tc>
      </w:tr>
      <w:tr>
        <w:tblPrEx/>
        <w:trPr>
          <w:tblHeader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1038"/>
              <w:rPr>
                <w:b/>
              </w:rPr>
            </w:pPr>
            <w:r>
              <w:rPr>
                <w:b/>
              </w:rPr>
              <w:t xml:space="preserve">Наименование роли</w:t>
            </w:r>
            <w:r>
              <w:rPr>
                <w:b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1038"/>
              <w:rPr>
                <w:b/>
              </w:rPr>
            </w:pPr>
            <w:r>
              <w:rPr>
                <w:b/>
              </w:rPr>
              <w:t xml:space="preserve">Доступные действия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1038"/>
              <w:ind w:firstLine="0"/>
              <w:rPr>
                <w:highlight w:val="yellow"/>
              </w:rPr>
            </w:pPr>
            <w:r>
              <w:rPr>
                <w:color w:val="auto"/>
              </w:rPr>
              <w:t xml:space="preserve">ЕПБС</w:t>
            </w:r>
            <w:r>
              <w:rPr>
                <w:color w:val="auto"/>
              </w:rPr>
              <w:t xml:space="preserve">.Ф</w:t>
            </w:r>
            <w:r>
              <w:rPr>
                <w:color w:val="auto"/>
              </w:rPr>
              <w:t xml:space="preserve">ОМО_МРГО</w:t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1038"/>
              <w:rPr>
                <w:highlight w:val="yellow"/>
              </w:rPr>
            </w:pPr>
            <w:r>
              <w:t xml:space="preserve">Позволяет видеть раздел меню «Сведения о бюджетных кредитах на инфраструктурные проекты». </w:t>
            </w:r>
            <w:r>
              <w:t xml:space="preserve">Группировочная</w:t>
            </w:r>
            <w:r>
              <w:t xml:space="preserve"> роль должна добавляться всегда в сочетании с другими функциональными ролями.</w:t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1038"/>
              <w:ind w:firstLine="0"/>
              <w:rPr>
                <w:highlight w:val="yellow"/>
              </w:rPr>
            </w:pPr>
            <w:r>
              <w:t xml:space="preserve">ЕПБС.013 Ввод данных</w:t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1038"/>
              <w:ind w:firstLine="0"/>
            </w:pPr>
            <w:r>
              <w:t xml:space="preserve">Создание новых документов, </w:t>
            </w:r>
            <w:r>
              <w:rPr>
                <w:lang w:val="en-US"/>
              </w:rPr>
              <w:t xml:space="preserve">c</w:t>
            </w:r>
            <w:r>
              <w:t xml:space="preserve">охранение данных клиента, удаление документов, копирование документов, публикация документов, возврат на доработку, формирование листа согласования, откатить до утверждения, снятие с публикации, чтение, печать, удаление документов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1038"/>
              <w:ind w:firstLine="0"/>
            </w:pPr>
            <w:r>
              <w:t xml:space="preserve">ЕПБС.032 Согласование данных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1038"/>
            </w:pPr>
            <w:r>
              <w:t xml:space="preserve">Согласование, отклонение согласования, возврат на доработку, печать данных 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pStyle w:val="1038"/>
              <w:ind w:firstLine="0"/>
              <w:rPr>
                <w:highlight w:val="yellow"/>
              </w:rPr>
            </w:pPr>
            <w:r>
              <w:t xml:space="preserve">ЕПБС.014 Утверждение документов</w:t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1038"/>
            </w:pPr>
            <w:r>
              <w:t xml:space="preserve">Утверждение, отклонение утверждения, подпись документа, возврат на доработку, печать данных, чтение</w:t>
            </w:r>
            <w:r/>
          </w:p>
        </w:tc>
      </w:tr>
    </w:tbl>
    <w:p>
      <w:pPr>
        <w:pStyle w:val="1031"/>
        <w:ind w:left="720" w:firstLine="0"/>
        <w:spacing w:line="276" w:lineRule="auto"/>
      </w:pPr>
      <w:r/>
      <w:r/>
    </w:p>
    <w:p>
      <w:pPr>
        <w:pStyle w:val="1031"/>
      </w:pPr>
      <w:r>
        <w:t xml:space="preserve">Роли сотрудникам назначаются руководителем ве</w:t>
      </w:r>
      <w:r>
        <w:t xml:space="preserve">домства, либо уполномоченными сотрудниками с ролью «Регистратор», в панели администрирования ПОИБ СОБИ ФК. Доступны на вкладке «Администрирование», «Профили пользователей», требуется выбрать пользователя, «Роли», проект «Электронный бюджет», группа «ЕПБС».</w:t>
      </w:r>
      <w:r/>
    </w:p>
    <w:p>
      <w:pPr>
        <w:pStyle w:val="1031"/>
      </w:pPr>
      <w:r>
        <w:br w:type="page" w:clear="all"/>
      </w:r>
      <w:r/>
    </w:p>
    <w:p>
      <w:pPr>
        <w:pStyle w:val="807"/>
        <w:rPr>
          <w:rFonts w:eastAsia="Century Gothic"/>
        </w:rPr>
      </w:pPr>
      <w:r/>
      <w:bookmarkStart w:id="18" w:name="_Toc236664884"/>
      <w:r>
        <w:t xml:space="preserve">Формирование </w:t>
      </w:r>
      <w:r>
        <w:rPr>
          <w:rFonts w:eastAsia="Century Gothic"/>
        </w:rPr>
        <w:t xml:space="preserve">сведений о бюджетных кредитах на инфраструктурные проекты</w:t>
      </w:r>
      <w:bookmarkEnd w:id="18"/>
      <w:r/>
      <w:r>
        <w:rPr>
          <w:rFonts w:eastAsia="Century Gothic"/>
        </w:rPr>
      </w:r>
    </w:p>
    <w:p>
      <w:pPr>
        <w:pStyle w:val="1031"/>
      </w:pPr>
      <w:r>
        <w:rPr>
          <w:b/>
        </w:rPr>
        <w:t xml:space="preserve">ВНИМАНИЕ! Первоначальное заполнение данных необходимо выполнить по состоянию на 01.01.2026. Значения показателей должны отражать нарастающий итог </w:t>
      </w:r>
      <w:r>
        <w:rPr>
          <w:b/>
        </w:rPr>
        <w:t xml:space="preserve">с даты начала</w:t>
      </w:r>
      <w:r>
        <w:rPr>
          <w:b/>
        </w:rPr>
        <w:t xml:space="preserve"> выдачи кредита. Последующее обновление данных производить по факту изменения показателей, заполнение формуляра необходимо осущест</w:t>
      </w:r>
      <w:r>
        <w:rPr>
          <w:b/>
        </w:rPr>
        <w:t xml:space="preserve">влять с учетом всех изменений с начала текущего года (после 01.01) на дату заполнения. Также в обязательном порядке требуется заполнение данных по состоянию на 01.07, 01.12 и 01.01 каждого года, при отсутствии изменений в текущем году формуляр формируется </w:t>
      </w:r>
      <w:r>
        <w:rPr>
          <w:b/>
        </w:rPr>
        <w:t xml:space="preserve">пустым</w:t>
      </w:r>
      <w:r>
        <w:rPr>
          <w:b/>
        </w:rPr>
        <w:t xml:space="preserve">.</w:t>
      </w:r>
      <w:r/>
    </w:p>
    <w:p>
      <w:pPr>
        <w:pStyle w:val="1031"/>
      </w:pPr>
      <w:r>
        <w:t xml:space="preserve">Для формирования сведений о бюджетных кредитах на инфраструктурные проекты пользователям необходимо выполнить вход в личный кабинет ЕПБС по ссылке:</w:t>
      </w:r>
      <w:r>
        <w:rPr>
          <w:szCs w:val="32"/>
        </w:rPr>
        <w:t xml:space="preserve"> </w:t>
      </w:r>
      <w:hyperlink r:id="rId17" w:tooltip="https://eb.cert.roskazna.ru/" w:history="1">
        <w:r>
          <w:rPr>
            <w:rStyle w:val="1030"/>
            <w:szCs w:val="32"/>
          </w:rPr>
          <w:t xml:space="preserve">https://eb.cert.roskazna.ru/</w:t>
        </w:r>
      </w:hyperlink>
      <w:r>
        <w:rPr>
          <w:rStyle w:val="1030"/>
          <w:szCs w:val="32"/>
        </w:rPr>
        <w:t xml:space="preserve"> </w:t>
      </w:r>
      <w:r>
        <w:t xml:space="preserve">и далее:</w:t>
      </w:r>
      <w:r/>
    </w:p>
    <w:p>
      <w:pPr>
        <w:pStyle w:val="1031"/>
      </w:pPr>
      <w:r>
        <w:t xml:space="preserve">1.</w:t>
      </w:r>
      <w:r>
        <w:tab/>
        <w:t xml:space="preserve">Зайти в раздел «Сведения о бюджетных кредитах на инфраструктурные проекты».</w:t>
      </w:r>
      <w:r/>
    </w:p>
    <w:p>
      <w:pPr>
        <w:pStyle w:val="1031"/>
      </w:pPr>
      <w:r>
        <w:t xml:space="preserve">2.</w:t>
      </w:r>
      <w:r>
        <w:tab/>
        <w:t xml:space="preserve">Выбрать в списке «Сведения о бюджетных кредитах на инфраструктурные проекты (МО)».</w:t>
      </w:r>
      <w:r/>
    </w:p>
    <w:p>
      <w:pPr>
        <w:pStyle w:val="808"/>
        <w:numPr>
          <w:ilvl w:val="1"/>
          <w:numId w:val="4"/>
        </w:numPr>
      </w:pPr>
      <w:r/>
      <w:bookmarkStart w:id="19" w:name="_Toc234328212"/>
      <w:r/>
      <w:bookmarkStart w:id="20" w:name="undefined"/>
      <w:r/>
      <w:bookmarkStart w:id="21" w:name="_Toc236664885"/>
      <w:r>
        <w:t xml:space="preserve">Работа сотрудников финансовых органов МО в Личном кабинете ЕПБС</w:t>
      </w:r>
      <w:bookmarkEnd w:id="19"/>
      <w:r/>
      <w:bookmarkEnd w:id="21"/>
      <w:r/>
      <w:r/>
    </w:p>
    <w:p>
      <w:pPr>
        <w:pStyle w:val="809"/>
      </w:pPr>
      <w:r/>
      <w:bookmarkStart w:id="22" w:name="_Toc236664886"/>
      <w:r>
        <w:t xml:space="preserve">Общие сведения</w:t>
      </w:r>
      <w:bookmarkEnd w:id="22"/>
      <w:r/>
      <w:r/>
    </w:p>
    <w:p>
      <w:pPr>
        <w:pStyle w:val="1031"/>
      </w:pPr>
      <w:r>
        <w:t xml:space="preserve">Для создания документов </w:t>
      </w:r>
      <w:r>
        <w:rPr>
          <w:rFonts w:eastAsia="Century Gothic"/>
        </w:rPr>
        <w:t xml:space="preserve">сведений о бюджетных кредитах на инфраструктурные проекты</w:t>
      </w:r>
      <w:r>
        <w:t xml:space="preserve"> пользователю необходимо:</w:t>
      </w:r>
      <w:r/>
    </w:p>
    <w:p>
      <w:pPr>
        <w:pStyle w:val="1031"/>
      </w:pPr>
      <w:r>
        <w:t xml:space="preserve">1. В списковой форме на панели инструментов нажать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422" cy="304843"/>
                <wp:effectExtent l="0" t="0" r="9525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33422" cy="30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.25pt;height:24.0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t xml:space="preserve"> – «Создать новый документ».</w:t>
      </w:r>
      <w:r/>
    </w:p>
    <w:p>
      <w:pPr>
        <w:pStyle w:val="1031"/>
        <w:rPr>
          <w:color w:val="auto"/>
        </w:rPr>
      </w:pPr>
      <w:r>
        <w:rPr>
          <w:color w:val="auto"/>
        </w:rPr>
        <w:t xml:space="preserve">Откроется формуляр, в котором в зависимости от данных пользователя автоматически заполнятся поля о финансовом органе муниципального образования Российской Федерации</w:t>
      </w:r>
      <w:r>
        <w:rPr>
          <w:rStyle w:val="1014"/>
          <w:color w:val="auto"/>
        </w:rPr>
        <w:footnoteReference w:id="2"/>
      </w:r>
      <w:r>
        <w:rPr>
          <w:color w:val="auto"/>
        </w:rPr>
        <w:t xml:space="preserve">.</w:t>
      </w:r>
      <w:r>
        <w:rPr>
          <w:color w:val="auto"/>
        </w:rPr>
      </w:r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27010" cy="2881930"/>
                <wp:effectExtent l="0" t="0" r="2540" b="0"/>
                <wp:docPr id="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827010" cy="2881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8.82pt;height:226.92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Формуляр «</w:t>
      </w:r>
      <w:r>
        <w:rPr>
          <w:rFonts w:eastAsia="Century Gothic"/>
        </w:rPr>
        <w:t xml:space="preserve">Сведения о бюджетных кредитах на инфраструктурные проекты</w:t>
      </w:r>
      <w:r>
        <w:t xml:space="preserve">»</w:t>
      </w:r>
      <w:r/>
    </w:p>
    <w:p>
      <w:pPr>
        <w:pStyle w:val="1031"/>
      </w:pPr>
      <w:r>
        <w:t xml:space="preserve">2. На открывшейся визуальной форме отображаются поля, которые необходимо заполнить.</w:t>
      </w:r>
      <w:r/>
    </w:p>
    <w:p>
      <w:pPr>
        <w:pStyle w:val="1031"/>
        <w:ind w:firstLine="708"/>
      </w:pPr>
      <w:r/>
      <w:r/>
    </w:p>
    <w:p>
      <w:pPr>
        <w:pStyle w:val="1031"/>
        <w:ind w:firstLine="708"/>
        <w:rPr>
          <w:b/>
          <w:bCs/>
        </w:rPr>
      </w:pPr>
      <w:r>
        <w:rPr>
          <w:b/>
          <w:bCs/>
        </w:rPr>
        <w:t xml:space="preserve">ВНИМАНИЕ! </w:t>
      </w:r>
      <w:r>
        <w:rPr>
          <w:b/>
          <w:bCs/>
        </w:rPr>
      </w:r>
    </w:p>
    <w:p>
      <w:pPr>
        <w:pStyle w:val="1031"/>
        <w:ind w:firstLine="708"/>
      </w:pPr>
      <w:r>
        <w:t xml:space="preserve">При значении «</w:t>
      </w:r>
      <w:r>
        <w:rPr>
          <w:b/>
          <w:bCs/>
        </w:rPr>
        <w:t xml:space="preserve">Полная касса</w:t>
      </w:r>
      <w:r>
        <w:t xml:space="preserve">» в поле «Порядок казначейского обслуживания исполнения бюджета» заблокированы для заполнения пользователем следующие поля:</w:t>
      </w:r>
      <w:r/>
    </w:p>
    <w:p>
      <w:pPr>
        <w:pStyle w:val="1033"/>
        <w:numPr>
          <w:ilvl w:val="0"/>
          <w:numId w:val="5"/>
        </w:numPr>
      </w:pPr>
      <w:r>
        <w:t xml:space="preserve">в таблице «Казначейские инфраструктурные кредиты»:</w:t>
      </w:r>
      <w:r/>
    </w:p>
    <w:p>
      <w:pPr>
        <w:pStyle w:val="1031"/>
        <w:numPr>
          <w:ilvl w:val="0"/>
          <w:numId w:val="7"/>
        </w:numPr>
      </w:pPr>
      <w:r>
        <w:t xml:space="preserve">«Лимиты бюджетных обязательств, доведённых ГРБС до ПБС, руб.»;</w:t>
      </w:r>
      <w:r/>
    </w:p>
    <w:p>
      <w:pPr>
        <w:pStyle w:val="1031"/>
        <w:numPr>
          <w:ilvl w:val="0"/>
          <w:numId w:val="7"/>
        </w:numPr>
      </w:pPr>
      <w:r>
        <w:t xml:space="preserve">«Аванс (Размер средств КИК, направленных на финансовое обеспечение реализации одобренных мероприятий…), руб.».</w:t>
      </w:r>
      <w:r/>
    </w:p>
    <w:p>
      <w:pPr>
        <w:pStyle w:val="1033"/>
        <w:numPr>
          <w:ilvl w:val="0"/>
          <w:numId w:val="5"/>
        </w:numPr>
      </w:pPr>
      <w:r>
        <w:t xml:space="preserve">в таблице «Инфраструктурные бюджетные кредиты, специальные казначейские кредиты»:</w:t>
      </w:r>
      <w:r/>
    </w:p>
    <w:p>
      <w:pPr>
        <w:pStyle w:val="1031"/>
        <w:numPr>
          <w:ilvl w:val="0"/>
          <w:numId w:val="6"/>
        </w:numPr>
      </w:pPr>
      <w:r>
        <w:t xml:space="preserve">«Лимиты бюджетных обязательств, доведённых ГРБС до ПБС, руб.»;</w:t>
      </w:r>
      <w:r/>
    </w:p>
    <w:p>
      <w:pPr>
        <w:pStyle w:val="1031"/>
        <w:numPr>
          <w:ilvl w:val="0"/>
          <w:numId w:val="6"/>
        </w:numPr>
      </w:pPr>
      <w:r>
        <w:t xml:space="preserve">«Аванс (Размер средств ИБК (СКК), направленных на финансовое обеспечение реализации одобренных мероприятий…), руб.».</w:t>
      </w:r>
      <w:r/>
    </w:p>
    <w:p>
      <w:pPr>
        <w:pStyle w:val="1031"/>
      </w:pPr>
      <w:r>
        <w:t xml:space="preserve">При значении «</w:t>
      </w:r>
      <w:r>
        <w:rPr>
          <w:b/>
          <w:bCs/>
        </w:rPr>
        <w:t xml:space="preserve">Неполная касса</w:t>
      </w:r>
      <w:r>
        <w:t xml:space="preserve">» в поле «Порядок казначейского обслуживания исполнения бюджета» в указанных полях ограничения на заполнение полей не применяются.</w:t>
      </w:r>
      <w:r/>
    </w:p>
    <w:p>
      <w:pPr>
        <w:pStyle w:val="1031"/>
      </w:pPr>
      <w:r/>
      <w:r/>
    </w:p>
    <w:p>
      <w:pPr>
        <w:pStyle w:val="1031"/>
        <w:rPr>
          <w:b/>
          <w:bCs/>
        </w:rPr>
      </w:pPr>
      <w:r>
        <w:rPr>
          <w:b/>
        </w:rPr>
        <w:t xml:space="preserve">ВНИМАНИЕ!</w:t>
      </w:r>
      <w:r>
        <w:rPr>
          <w:b/>
          <w:bCs/>
        </w:rPr>
      </w:r>
    </w:p>
    <w:p>
      <w:pPr>
        <w:pStyle w:val="1031"/>
      </w:pPr>
      <w:r>
        <w:t xml:space="preserve">Поля   в таблицах «Казначейские инфраструктурные кредиты» и «Инфраструктурные бюджетные кредиты, специальные казначейские кредиты» заполняются пользователем при наличии данных:</w:t>
      </w:r>
      <w:r/>
    </w:p>
    <w:p>
      <w:pPr>
        <w:pStyle w:val="1031"/>
        <w:numPr>
          <w:ilvl w:val="0"/>
          <w:numId w:val="15"/>
        </w:numPr>
      </w:pPr>
      <w:r>
        <w:t xml:space="preserve">«Лимиты бюджетных обязательств, доведенных до ГРБС, руб.»;</w:t>
      </w:r>
      <w:r/>
    </w:p>
    <w:p>
      <w:pPr>
        <w:pStyle w:val="1031"/>
        <w:numPr>
          <w:ilvl w:val="0"/>
          <w:numId w:val="15"/>
        </w:numPr>
      </w:pPr>
      <w:r>
        <w:t xml:space="preserve">«Лимиты бюджетных обязательств, доведенных ГРБС до ПБС, руб.»;</w:t>
      </w:r>
      <w:r/>
    </w:p>
    <w:p>
      <w:pPr>
        <w:pStyle w:val="1031"/>
        <w:numPr>
          <w:ilvl w:val="0"/>
          <w:numId w:val="15"/>
        </w:numPr>
      </w:pPr>
      <w:r>
        <w:t xml:space="preserve">«Аванс (Размер средств КИК, направленных на финансовое обеспечение реализации одобренных мероприятий...), руб.»;</w:t>
      </w:r>
      <w:r/>
    </w:p>
    <w:p>
      <w:pPr>
        <w:pStyle w:val="1031"/>
        <w:numPr>
          <w:ilvl w:val="0"/>
          <w:numId w:val="15"/>
        </w:numPr>
      </w:pPr>
      <w:r>
        <w:t xml:space="preserve">«Остатки на счетах бюджетных, автономных учреждений, руб.».</w:t>
      </w:r>
      <w:r/>
    </w:p>
    <w:p>
      <w:pPr>
        <w:pStyle w:val="1031"/>
      </w:pPr>
      <w:r/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59780" cy="2804160"/>
                <wp:effectExtent l="0" t="0" r="0" b="0"/>
                <wp:docPr id="3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859780" cy="280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1.40pt;height:220.8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Поля в таблицах «Казначейские инфраструктурные кредиты» и «Инфраструктурные бюджетные кредиты, специальные казначейские кредиты», подлежащие заполнению при наличии данных.</w:t>
      </w:r>
      <w:r/>
    </w:p>
    <w:p>
      <w:pPr>
        <w:pStyle w:val="809"/>
      </w:pPr>
      <w:r/>
      <w:bookmarkStart w:id="23" w:name="_Toc236664887"/>
      <w:r>
        <w:t xml:space="preserve">Таблица  «Казначейские инфраструктурные кредиты»</w:t>
      </w:r>
      <w:bookmarkEnd w:id="23"/>
      <w:r/>
      <w:r/>
    </w:p>
    <w:p>
      <w:pPr>
        <w:pStyle w:val="1031"/>
      </w:pPr>
      <w:r>
        <w:t xml:space="preserve">В блоке «Казначейские инфраструктурные кредиты» пользователю необходимо добавить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4843" cy="285790"/>
                <wp:effectExtent l="0" t="0" r="0" b="0"/>
                <wp:docPr id="4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04843" cy="285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.00pt;height:22.5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. Далее откроется форма добавления записи.</w:t>
      </w:r>
      <w:r/>
    </w:p>
    <w:p>
      <w:pPr>
        <w:pStyle w:val="1031"/>
      </w:pPr>
      <w:r>
        <w:t xml:space="preserve"> Пользователю будет необходимо выбрать из выпадающего списка «Вид отбора», при его заполнении автоматически во вложенной таблице «Инфраструктурные бюджетные кредиты» появятся записи</w:t>
      </w:r>
      <w:r>
        <w:rPr>
          <w:rStyle w:val="1014"/>
        </w:rPr>
        <w:footnoteReference w:id="3"/>
      </w:r>
      <w:r>
        <w:t xml:space="preserve">, которые можно копировать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90" cy="209579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85790" cy="2095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2.50pt;height:16.5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t xml:space="preserve">, редактировать и удалять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6737" cy="209579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66737" cy="2095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1.00pt;height:16.5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t xml:space="preserve">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1530985"/>
                <wp:effectExtent l="0" t="0" r="635" b="0"/>
                <wp:docPr id="7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152515" cy="1530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4.45pt;height:120.55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Форма добавления записей в таблицу «Инфраструктурные бюджетные кредиты» по виду отбора</w:t>
      </w:r>
      <w:r/>
    </w:p>
    <w:p>
      <w:pPr>
        <w:pStyle w:val="1031"/>
      </w:pPr>
      <w:r>
        <w:t xml:space="preserve">В случае отсутствия автоматически подтягиваемых данных в формуляр была реализована возможность ручного создания и заполнения записей таблиц «Казначейские инфраструктурные кредиты». Чтобы создать пустую строку необходимо нажать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6737" cy="257211"/>
                <wp:effectExtent l="0" t="0" r="0" b="9525"/>
                <wp:docPr id="8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66737" cy="257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1.00pt;height:20.2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. Затем пользователю необходимо внести недостающую информацию в соответствующие поля.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2299653"/>
                <wp:effectExtent l="0" t="0" r="5080" b="5715"/>
                <wp:docPr id="9" name="Рисунок 25" descr="C:\Users\naumov_aa\Pictures\Доработки инструкций по КИК 30.07.2026\МО\Выделенная кнопка добавления пустой строки по КИК(таблица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aumov_aa\Pictures\Доработки инструкций по КИК 30.07.2026\МО\Выделенная кнопка добавления пустой строки по КИК(таблица)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300470" cy="2299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96.10pt;height:181.08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– Кнопка добавления пустой строки в таблицу «Казначейские инфраструктурные кредиты»</w:t>
      </w:r>
      <w:r/>
    </w:p>
    <w:p>
      <w:pPr>
        <w:pStyle w:val="1031"/>
      </w:pPr>
      <w:r>
        <w:t xml:space="preserve">При </w:t>
      </w:r>
      <w:r>
        <w:rPr>
          <w:color w:val="auto"/>
        </w:rPr>
        <w:t xml:space="preserve">выборе из выпадающего списка </w:t>
      </w:r>
      <w:r>
        <w:t xml:space="preserve">пользователем поля «Аналитический код» </w:t>
      </w:r>
      <w:r>
        <w:rPr>
          <w:rStyle w:val="1014"/>
        </w:rPr>
        <w:footnoteReference w:id="4"/>
      </w:r>
      <w:r>
        <w:t xml:space="preserve">заполняются автоматически поля:</w:t>
      </w:r>
      <w:r/>
    </w:p>
    <w:p>
      <w:pPr>
        <w:pStyle w:val="1031"/>
        <w:numPr>
          <w:ilvl w:val="0"/>
          <w:numId w:val="8"/>
        </w:numPr>
      </w:pPr>
      <w:r>
        <w:t xml:space="preserve">«Номер соглашения»; </w:t>
      </w:r>
      <w:r/>
    </w:p>
    <w:p>
      <w:pPr>
        <w:pStyle w:val="1031"/>
        <w:numPr>
          <w:ilvl w:val="0"/>
          <w:numId w:val="8"/>
        </w:numPr>
      </w:pPr>
      <w:r>
        <w:t xml:space="preserve">«Дата подписания соглашения»;</w:t>
      </w:r>
      <w:r/>
    </w:p>
    <w:p>
      <w:pPr>
        <w:pStyle w:val="1031"/>
        <w:numPr>
          <w:ilvl w:val="0"/>
          <w:numId w:val="8"/>
        </w:numPr>
      </w:pPr>
      <w:r>
        <w:t xml:space="preserve">«Код проекта»;</w:t>
      </w:r>
      <w:r/>
    </w:p>
    <w:p>
      <w:pPr>
        <w:pStyle w:val="1031"/>
        <w:numPr>
          <w:ilvl w:val="0"/>
          <w:numId w:val="8"/>
        </w:numPr>
      </w:pPr>
      <w:r>
        <w:t xml:space="preserve">«Наименование проекта»;</w:t>
      </w:r>
      <w:r/>
    </w:p>
    <w:p>
      <w:pPr>
        <w:pStyle w:val="1031"/>
        <w:numPr>
          <w:ilvl w:val="0"/>
          <w:numId w:val="8"/>
        </w:numPr>
      </w:pPr>
      <w:r>
        <w:t xml:space="preserve">«Код мероприятия»;</w:t>
      </w:r>
      <w:r/>
    </w:p>
    <w:p>
      <w:pPr>
        <w:pStyle w:val="1031"/>
        <w:numPr>
          <w:ilvl w:val="0"/>
          <w:numId w:val="8"/>
        </w:numPr>
      </w:pPr>
      <w:r>
        <w:t xml:space="preserve">«Наименование мероприятия. </w:t>
      </w:r>
      <w:r/>
    </w:p>
    <w:p>
      <w:pPr>
        <w:pStyle w:val="1031"/>
        <w:rPr>
          <w:rFonts w:eastAsiaTheme="minorHAnsi"/>
        </w:rPr>
      </w:pPr>
      <w:r>
        <w:rPr>
          <w:rFonts w:eastAsiaTheme="minorHAnsi"/>
        </w:rPr>
        <w:t xml:space="preserve">В указанный блок допускается добавление неограниченного количества записей.</w:t>
      </w:r>
      <w:r>
        <w:rPr>
          <w:rFonts w:eastAsiaTheme="minorHAnsi"/>
        </w:rPr>
      </w:r>
    </w:p>
    <w:p>
      <w:pPr>
        <w:pStyle w:val="1031"/>
        <w:ind w:firstLine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2580640"/>
                <wp:effectExtent l="0" t="0" r="635" b="0"/>
                <wp:docPr id="10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152515" cy="25806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84.45pt;height:203.2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Заполненный блок «Казначейские инфраструктурные кредиты»</w:t>
      </w:r>
      <w:r/>
    </w:p>
    <w:p>
      <w:pPr>
        <w:pStyle w:val="1031"/>
      </w:pPr>
      <w:r>
        <w:t xml:space="preserve">Пользователю, для добавления новой записи, необходимо создать копию строки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895" cy="323895"/>
                <wp:effectExtent l="0" t="0" r="0" b="0"/>
                <wp:docPr id="1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323895" cy="323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5.50pt;height:25.5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t xml:space="preserve">.</w:t>
      </w:r>
      <w:r/>
    </w:p>
    <w:p>
      <w:pPr>
        <w:pStyle w:val="809"/>
      </w:pPr>
      <w:r/>
      <w:bookmarkStart w:id="24" w:name="_Toc236664888"/>
      <w:r>
        <w:t xml:space="preserve">Таблица «Инфраструктурные бюджетные кредиты, специальные казначейские кредиты»</w:t>
      </w:r>
      <w:bookmarkEnd w:id="24"/>
      <w:r/>
      <w:r/>
    </w:p>
    <w:p>
      <w:pPr>
        <w:pStyle w:val="1031"/>
      </w:pPr>
      <w:r>
        <w:t xml:space="preserve">Заполняется аналогично таблице «Казначейские инфраструктурные кредиты».</w:t>
      </w:r>
      <w:r/>
    </w:p>
    <w:p>
      <w:pPr>
        <w:pStyle w:val="1064"/>
        <w:jc w:val="left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1256665"/>
                <wp:effectExtent l="0" t="0" r="635" b="635"/>
                <wp:docPr id="12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6152515" cy="1256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4.45pt;height:98.9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– Форма добавления записей в блоке «Инфраструктурные бюджетные кредиты, специальные казначейские кредиты»</w:t>
      </w:r>
      <w:r/>
    </w:p>
    <w:p>
      <w:pPr>
        <w:pStyle w:val="1031"/>
      </w:pPr>
      <w:r>
        <w:t xml:space="preserve">При выборе из выпадающего списка пользователем «Аналитический код» заполняется автоматически поля «Номер соглашения» и «Дата подписания соглашения». </w:t>
      </w:r>
      <w:r/>
    </w:p>
    <w:p>
      <w:pPr>
        <w:pStyle w:val="1031"/>
      </w:pPr>
      <w:r>
        <w:t xml:space="preserve">В случае, когда поле «Направление расходов</w:t>
      </w:r>
      <w:r>
        <w:t xml:space="preserve">ания</w:t>
      </w:r>
      <w:r>
        <w:t xml:space="preserve">» не подлежит заполнению, в выпадающем списке следует выбрать значение «Отсутствует».</w:t>
      </w:r>
      <w:r/>
    </w:p>
    <w:p>
      <w:pPr>
        <w:pStyle w:val="1031"/>
        <w:rPr>
          <w:rFonts w:eastAsiaTheme="minorHAnsi"/>
        </w:rPr>
      </w:pPr>
      <w:r>
        <w:rPr>
          <w:rFonts w:eastAsiaTheme="minorHAnsi"/>
        </w:rPr>
        <w:t xml:space="preserve">В указанный блок допускается добавление неограниченного количества записей.</w:t>
      </w:r>
      <w:r>
        <w:rPr>
          <w:rFonts w:eastAsiaTheme="minorHAnsi"/>
        </w:rPr>
      </w:r>
    </w:p>
    <w:p>
      <w:pPr>
        <w:pStyle w:val="1031"/>
        <w:rPr>
          <w:b/>
          <w:bCs/>
        </w:rPr>
      </w:pPr>
      <w:r>
        <w:rPr>
          <w:b/>
        </w:rPr>
        <w:t xml:space="preserve">ВНИМАНИЕ!</w:t>
      </w:r>
      <w:r>
        <w:rPr>
          <w:b/>
          <w:bCs/>
        </w:rPr>
      </w:r>
    </w:p>
    <w:p>
      <w:pPr>
        <w:pStyle w:val="1031"/>
      </w:pPr>
      <w:r>
        <w:t xml:space="preserve">Поля  заполняются пользователем </w:t>
      </w:r>
      <w:r>
        <w:rPr>
          <w:b/>
          <w:bCs/>
        </w:rPr>
        <w:t xml:space="preserve">при наличии</w:t>
      </w:r>
      <w:r>
        <w:t xml:space="preserve"> данных (Рисунок 2):</w:t>
      </w:r>
      <w:r/>
    </w:p>
    <w:p>
      <w:pPr>
        <w:pStyle w:val="1031"/>
        <w:numPr>
          <w:ilvl w:val="0"/>
          <w:numId w:val="14"/>
        </w:numPr>
      </w:pPr>
      <w:r>
        <w:t xml:space="preserve">«Лимиты бюджетных обязательств, доведенных до ГРБС, руб.»;</w:t>
      </w:r>
      <w:r/>
    </w:p>
    <w:p>
      <w:pPr>
        <w:pStyle w:val="1031"/>
        <w:numPr>
          <w:ilvl w:val="0"/>
          <w:numId w:val="14"/>
        </w:numPr>
      </w:pPr>
      <w:r>
        <w:t xml:space="preserve">«Лимиты бюджетных обязательств, доведенных ГРБС до ПБС, руб.»;</w:t>
      </w:r>
      <w:r/>
    </w:p>
    <w:p>
      <w:pPr>
        <w:pStyle w:val="1031"/>
        <w:numPr>
          <w:ilvl w:val="0"/>
          <w:numId w:val="14"/>
        </w:numPr>
      </w:pPr>
      <w:r>
        <w:t xml:space="preserve">«Аванс (Размер средств ИБК (СКК), направленных на финансовое обеспечение реализации одобренных мероприятий...), руб.»;</w:t>
      </w:r>
      <w:r/>
    </w:p>
    <w:p>
      <w:pPr>
        <w:pStyle w:val="1031"/>
        <w:numPr>
          <w:ilvl w:val="0"/>
          <w:numId w:val="14"/>
        </w:numPr>
      </w:pPr>
      <w:r>
        <w:t xml:space="preserve">«Остатки на счетах бюджетных, автономных учреждений, руб.».</w:t>
      </w:r>
      <w:r/>
    </w:p>
    <w:p>
      <w:pPr>
        <w:pStyle w:val="1031"/>
      </w:pPr>
      <w:r/>
      <w:r/>
    </w:p>
    <w:p>
      <w:pPr>
        <w:pStyle w:val="1031"/>
      </w:pPr>
      <w:r>
        <w:t xml:space="preserve">По завершению заполнения формуляра пользователю необходимо проверить корректность заполнения формуляра при помощи кнопки «Проверить документ»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69" cy="295316"/>
                <wp:effectExtent l="0" t="0" r="9525" b="9525"/>
                <wp:docPr id="1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14369" cy="2953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4.75pt;height:23.25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>
        <w:t xml:space="preserve">.</w:t>
      </w:r>
      <w:r/>
    </w:p>
    <w:p>
      <w:pPr>
        <w:pStyle w:val="1031"/>
      </w:pPr>
      <w:r>
        <w:t xml:space="preserve">В случае если обязательные поля и/или один из блоков не заполнены, выведется информационное сообщение с перечнем полей, обязательных к заполнению.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2515" cy="3828415"/>
                <wp:effectExtent l="0" t="0" r="635" b="635"/>
                <wp:docPr id="14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6152515" cy="3828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84.45pt;height:301.45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– Проверка формуляра</w:t>
      </w:r>
      <w:r/>
    </w:p>
    <w:p>
      <w:pPr>
        <w:ind w:firstLine="432"/>
        <w:jc w:val="both"/>
        <w:spacing w:after="0"/>
      </w:pPr>
      <w:r>
        <w:t xml:space="preserve">3. Сохранить формуляр и сформировать «Лист согласования». Если формуляр соответствует требованиям и отсутствуют ошибки при проверке. </w:t>
      </w:r>
      <w:r/>
    </w:p>
    <w:p>
      <w:pPr>
        <w:jc w:val="both"/>
      </w:pPr>
      <w:r>
        <w:t xml:space="preserve">Сохраненный формуляр приобретает статус «Черновик».</w:t>
      </w:r>
      <w:r/>
    </w:p>
    <w:p>
      <w:pPr>
        <w:jc w:val="both"/>
        <w:rPr>
          <w:b/>
        </w:rPr>
      </w:pPr>
      <w:r>
        <w:rPr>
          <w:b/>
        </w:rPr>
        <w:t xml:space="preserve">ВАЖНО! </w:t>
      </w:r>
      <w:r>
        <w:t xml:space="preserve">Лист согласования нельзя сформировать</w:t>
      </w:r>
      <w:r>
        <w:t xml:space="preserve"> до устранения всех блокирующих ошибок в формуляре.</w:t>
      </w:r>
      <w:r>
        <w:rPr>
          <w:b/>
        </w:rPr>
      </w:r>
    </w:p>
    <w:p>
      <w:pPr>
        <w:keepLines/>
        <w:rPr>
          <w:b/>
        </w:rPr>
      </w:pPr>
      <w:r>
        <w:rPr>
          <w:b/>
        </w:rPr>
        <w:br w:type="page" w:clear="all"/>
      </w:r>
      <w:r>
        <w:rPr>
          <w:b/>
        </w:rPr>
      </w:r>
    </w:p>
    <w:p>
      <w:r/>
      <w:r/>
    </w:p>
    <w:p>
      <w:pPr>
        <w:pStyle w:val="807"/>
      </w:pPr>
      <w:r/>
      <w:bookmarkStart w:id="25" w:name="_Toc236664889"/>
      <w:r/>
      <w:bookmarkEnd w:id="15"/>
      <w:r/>
      <w:bookmarkEnd w:id="20"/>
      <w:r>
        <w:t xml:space="preserve">Размещение сведений о бюджетных кредитах на инфраструктурные проекты</w:t>
      </w:r>
      <w:bookmarkEnd w:id="25"/>
      <w:r>
        <w:t xml:space="preserve"> </w:t>
      </w:r>
      <w:r/>
    </w:p>
    <w:p>
      <w:pPr>
        <w:pStyle w:val="808"/>
      </w:pPr>
      <w:r/>
      <w:bookmarkStart w:id="26" w:name="_Toc236664890"/>
      <w:r>
        <w:t xml:space="preserve">Согласование и утверждение набора данных</w:t>
      </w:r>
      <w:bookmarkEnd w:id="26"/>
      <w:r/>
      <w:r/>
    </w:p>
    <w:p>
      <w:pPr>
        <w:pStyle w:val="1031"/>
      </w:pPr>
      <w:r>
        <w:t xml:space="preserve">Для согласования и утверждения информации пользователю необходимо выбрать в списке формуляр со статусом «Черновик» и на панели инструментов нажать на кнопку «Сформировать лист согласования»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422" cy="314369"/>
                <wp:effectExtent l="0" t="0" r="9525" b="9525"/>
                <wp:docPr id="15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33422" cy="314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6.25pt;height:24.7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>
        <w:t xml:space="preserve">. В открывшейся форме поля «Согласующие» и «Утверждающие» необходимо заполнить уполномоченными на согласование и утверждение лицами путем выбора их из справочников.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133600"/>
                <wp:effectExtent l="0" t="0" r="0" b="0"/>
                <wp:docPr id="16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9436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8.00pt;height:168.00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– Формирование листа согласования на согласование/утверждение</w:t>
      </w:r>
      <w:r/>
    </w:p>
    <w:p>
      <w:pPr>
        <w:pStyle w:val="1031"/>
      </w:pPr>
      <w:r>
        <w:t xml:space="preserve">Для согласования</w:t>
      </w:r>
      <w:r>
        <w:rPr>
          <w:rStyle w:val="1014"/>
        </w:rPr>
        <w:footnoteReference w:id="5"/>
      </w:r>
      <w:r>
        <w:t xml:space="preserve"> пользователю необходимо выбрать формуляр со статусом «На согласовании», на панели инструментов нажать кнопку «Согласовать или отклонить»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422" cy="304843"/>
                <wp:effectExtent l="0" t="0" r="9525" b="0"/>
                <wp:docPr id="17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333422" cy="30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6.25pt;height:24.00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>
        <w:t xml:space="preserve">.</w:t>
      </w:r>
      <w:r/>
    </w:p>
    <w:p>
      <w:pPr>
        <w:pStyle w:val="1031"/>
      </w:pPr>
      <w:r>
        <w:t xml:space="preserve">При работе с формой «Согласовать или отклонить» пользователь выбирает действие:</w:t>
      </w:r>
      <w:r/>
    </w:p>
    <w:p>
      <w:pPr>
        <w:pStyle w:val="1033"/>
      </w:pPr>
      <w:r>
        <w:t xml:space="preserve">«Согласовать» – для согласования формуляра;</w:t>
      </w:r>
      <w:r/>
    </w:p>
    <w:p>
      <w:pPr>
        <w:pStyle w:val="1033"/>
      </w:pPr>
      <w:r>
        <w:t xml:space="preserve">«Отклонить» – в случае отклонения формуляра. </w:t>
      </w:r>
      <w:r>
        <w:rPr>
          <w:rStyle w:val="1066"/>
        </w:rPr>
        <w:t xml:space="preserve">В примечании пользователь имеет возможность указать причины отклонения</w:t>
      </w:r>
      <w:r>
        <w:t xml:space="preserve">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0900" cy="2019300"/>
                <wp:effectExtent l="0" t="0" r="0" b="0"/>
                <wp:docPr id="18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3090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00pt;height:159.00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9</w:t>
      </w:r>
      <w:r>
        <w:fldChar w:fldCharType="end"/>
      </w:r>
      <w:r>
        <w:t xml:space="preserve"> – Согласовать или отклонить</w:t>
      </w:r>
      <w:r/>
    </w:p>
    <w:p>
      <w:pPr>
        <w:pStyle w:val="1031"/>
      </w:pPr>
      <w:r>
        <w:t xml:space="preserve">Формуляр переходит в статус «На утверждении» или «Отклонен».</w:t>
      </w:r>
      <w:r/>
    </w:p>
    <w:p>
      <w:pPr>
        <w:pStyle w:val="1031"/>
      </w:pPr>
      <w:r>
        <w:t xml:space="preserve">Для утверждения пользователю необходимо выбрать формуляр со статусом «На утверждении», на панели инструментов нажать кнопку «Утвердить или отклонить»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9381" cy="228005"/>
                <wp:effectExtent l="0" t="0" r="0" b="635"/>
                <wp:docPr id="19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52662" cy="231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9.64pt;height:17.95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t xml:space="preserve">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69000" cy="1638300"/>
                <wp:effectExtent l="0" t="0" r="0" b="0"/>
                <wp:docPr id="20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596900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70.00pt;height:129.00pt;mso-wrap-distance-left:0.00pt;mso-wrap-distance-top:0.00pt;mso-wrap-distance-right:0.00pt;mso-wrap-distance-bottom:0.00pt;" stroked="f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– Утвердить или отклонить формуляр</w:t>
      </w:r>
      <w:r/>
    </w:p>
    <w:p>
      <w:pPr>
        <w:pStyle w:val="1031"/>
      </w:pPr>
      <w:r>
        <w:t xml:space="preserve">При утверждении формуляра выполняется наложение электронной подписи. В диалоговом окне пользователю нужно выбрать сертификат </w:t>
      </w:r>
      <w:r>
        <w:t xml:space="preserve">утверждающего</w:t>
      </w:r>
      <w:r>
        <w:t xml:space="preserve">.</w:t>
      </w:r>
      <w:r/>
    </w:p>
    <w:p>
      <w:pPr>
        <w:pStyle w:val="1031"/>
      </w:pPr>
      <w:r>
        <w:t xml:space="preserve">Отклоненный формуляр с отчетом переходит в статус «Отклонен». При утверждении формуляра, статус меняется на «Утвержден».</w:t>
      </w:r>
      <w:r/>
    </w:p>
    <w:p>
      <w:pPr>
        <w:pStyle w:val="808"/>
      </w:pPr>
      <w:r/>
      <w:bookmarkStart w:id="27" w:name="_Toc185321392"/>
      <w:r/>
      <w:bookmarkStart w:id="28" w:name="_Toc192083297"/>
      <w:r/>
      <w:bookmarkStart w:id="29" w:name="_Toc236664891"/>
      <w:r>
        <w:t xml:space="preserve">Обработка набора данных</w:t>
      </w:r>
      <w:bookmarkEnd w:id="29"/>
      <w:r>
        <w:t xml:space="preserve"> </w:t>
      </w:r>
      <w:bookmarkEnd w:id="27"/>
      <w:r/>
      <w:bookmarkEnd w:id="28"/>
      <w:r/>
      <w:r/>
    </w:p>
    <w:p>
      <w:pPr>
        <w:pStyle w:val="1031"/>
        <w:keepNext/>
      </w:pPr>
      <w:r>
        <w:t xml:space="preserve">Для размещения документа пользователю необходимо выделить в списке формуляр в статусе «Утверждён» и нажать на кнопку панели инструментов «Обработать»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7506" cy="217148"/>
                <wp:effectExtent l="0" t="0" r="0" b="0"/>
                <wp:docPr id="21" name="Рисунок 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238125" cy="217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8.70pt;height:17.10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t xml:space="preserve">.</w:t>
      </w:r>
      <w:r/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5980" cy="2186940"/>
                <wp:effectExtent l="0" t="0" r="0" b="0"/>
                <wp:docPr id="2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93598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7.40pt;height:172.20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– Обработать формуляр</w:t>
      </w:r>
      <w:r/>
    </w:p>
    <w:p>
      <w:pPr>
        <w:pStyle w:val="1031"/>
      </w:pPr>
      <w:r>
        <w:t xml:space="preserve">При обработке формуляра, статус меняется на «Обработан» и формуляр размещается в конфиденциальном контуре.</w:t>
      </w:r>
      <w:r/>
    </w:p>
    <w:p>
      <w:pPr>
        <w:pStyle w:val="1031"/>
      </w:pPr>
      <w:r>
        <w:t xml:space="preserve">На данном этапе доступен возврат формуляра на доработку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2636" cy="215214"/>
                <wp:effectExtent l="0" t="0" r="6350" b="0"/>
                <wp:docPr id="23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222221" cy="2148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17.53pt;height:16.95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t xml:space="preserve">, в статус «Черновик».</w:t>
      </w:r>
      <w:r/>
    </w:p>
    <w:p>
      <w:pPr>
        <w:pStyle w:val="808"/>
      </w:pPr>
      <w:r/>
      <w:bookmarkStart w:id="30" w:name="_Создание_новой_версии"/>
      <w:r/>
      <w:bookmarkStart w:id="31" w:name="_Toc181181432"/>
      <w:r/>
      <w:bookmarkStart w:id="32" w:name="_Toc184820220"/>
      <w:r/>
      <w:bookmarkStart w:id="33" w:name="_Toc184820288"/>
      <w:r/>
      <w:bookmarkStart w:id="34" w:name="_Toc185321395"/>
      <w:r/>
      <w:bookmarkStart w:id="35" w:name="_Toc236664892"/>
      <w:r/>
      <w:bookmarkEnd w:id="30"/>
      <w:r>
        <w:t xml:space="preserve">Копирование </w:t>
      </w:r>
      <w:bookmarkEnd w:id="31"/>
      <w:r/>
      <w:bookmarkEnd w:id="32"/>
      <w:r/>
      <w:bookmarkEnd w:id="33"/>
      <w:r>
        <w:t xml:space="preserve">документов по </w:t>
      </w:r>
      <w:bookmarkEnd w:id="34"/>
      <w:r>
        <w:rPr>
          <w:rFonts w:eastAsia="Century Gothic"/>
        </w:rPr>
        <w:t xml:space="preserve">сведениям о бюджетных кредитах на инфраструктурные проекты</w:t>
      </w:r>
      <w:bookmarkEnd w:id="35"/>
      <w:r/>
      <w:r/>
    </w:p>
    <w:p>
      <w:pPr>
        <w:pStyle w:val="1031"/>
        <w:rPr>
          <w:rStyle w:val="1032"/>
          <w:rFonts w:eastAsiaTheme="minorHAnsi"/>
        </w:rPr>
      </w:pPr>
      <w:r>
        <w:t xml:space="preserve">Д</w:t>
      </w:r>
      <w:r>
        <w:rPr>
          <w:rStyle w:val="1032"/>
          <w:rFonts w:eastAsiaTheme="minorHAnsi"/>
        </w:rPr>
        <w:t xml:space="preserve">ля создания документа на основе текущего, пользователю необходимо выбрать нужный документ, нажать на кнопку «Копировать документ» </w:t>
      </w:r>
      <w:r>
        <w:rPr>
          <w:rStyle w:val="1032"/>
          <w:rFonts w:eastAsiaTheme="minorHAnsi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2262" cy="256156"/>
                <wp:effectExtent l="0" t="0" r="6350" b="0"/>
                <wp:docPr id="2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31450" cy="255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4.04pt;height:20.17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rPr>
          <w:rStyle w:val="1032"/>
          <w:rFonts w:eastAsiaTheme="minorHAnsi"/>
        </w:rPr>
        <w:t xml:space="preserve">.</w:t>
      </w:r>
      <w:r>
        <w:rPr>
          <w:rStyle w:val="1032"/>
          <w:rFonts w:eastAsiaTheme="minorHAnsi"/>
        </w:rPr>
      </w:r>
    </w:p>
    <w:p>
      <w:pPr>
        <w:pStyle w:val="106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71889"/>
                <wp:effectExtent l="0" t="0" r="3175" b="0"/>
                <wp:docPr id="25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40425" cy="17718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67.75pt;height:139.52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pStyle w:val="106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 – Копировать с вложениями/без вложений</w:t>
      </w:r>
      <w:r/>
    </w:p>
    <w:p>
      <w:pPr>
        <w:pStyle w:val="1031"/>
      </w:pPr>
      <w:r>
        <w:t xml:space="preserve">Пользователю доступны две опции: «Копировать с вложениями» или «Копировать без вложений». Под вложениями подразумевается загруженные электронные файлы.</w:t>
      </w:r>
      <w:bookmarkStart w:id="36" w:name="str"/>
      <w:r/>
      <w:bookmarkEnd w:id="36"/>
      <w:r/>
      <w:bookmarkEnd w:id="4"/>
      <w:r/>
      <w:r/>
    </w:p>
    <w:sectPr>
      <w:footerReference w:type="default" r:id="rId10"/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6030202020202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14504968"/>
      <w:docPartObj>
        <w:docPartGallery w:val="Page Numbers (Bottom of Page)"/>
        <w:docPartUnique w:val="true"/>
      </w:docPartObj>
      <w:rPr/>
    </w:sdtPr>
    <w:sdtContent>
      <w:p>
        <w:pPr>
          <w:pStyle w:val="105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5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71844332"/>
      <w:docPartObj>
        <w:docPartGallery w:val="Page Numbers (Bottom of Page)"/>
        <w:docPartUnique w:val="true"/>
      </w:docPartObj>
      <w:rPr/>
    </w:sdtPr>
    <w:sdtContent>
      <w:p>
        <w:pPr>
          <w:pStyle w:val="1053"/>
          <w:jc w:val="right"/>
        </w:pPr>
        <w:r>
          <w:rPr>
            <w:rFonts w:cs="Times New Roman"/>
          </w:rPr>
          <w:fldChar w:fldCharType="begin"/>
        </w:r>
        <w:r>
          <w:rPr>
            <w:rFonts w:cs="Times New Roman"/>
          </w:rPr>
          <w:instrText xml:space="preserve">PAGE   \* MERGEFORMAT</w:instrText>
        </w:r>
        <w:r>
          <w:rPr>
            <w:rFonts w:cs="Times New Roman"/>
          </w:rPr>
          <w:fldChar w:fldCharType="separate"/>
        </w:r>
        <w:r>
          <w:rPr>
            <w:rFonts w:cs="Times New Roman"/>
          </w:rPr>
          <w:t xml:space="preserve">14</w:t>
        </w:r>
        <w:r>
          <w:rPr>
            <w:rFonts w:cs="Times New Roman"/>
          </w:rPr>
          <w:fldChar w:fldCharType="end"/>
        </w:r>
        <w:r/>
      </w:p>
    </w:sdtContent>
  </w:sdt>
  <w:p>
    <w:pPr>
      <w:pStyle w:val="10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12"/>
      </w:pPr>
      <w:r>
        <w:rPr>
          <w:rStyle w:val="1014"/>
        </w:rPr>
        <w:footnoteRef/>
      </w:r>
      <w:r>
        <w:t xml:space="preserve"> На основе данных Реестра участников бюджетного процесса, а также юридических лиц, не являющихся участниками бюджетного процесса</w:t>
      </w:r>
      <w:r/>
    </w:p>
  </w:footnote>
  <w:footnote w:id="3">
    <w:p>
      <w:pPr>
        <w:pStyle w:val="1012"/>
      </w:pPr>
      <w:r>
        <w:rPr>
          <w:rStyle w:val="1014"/>
        </w:rPr>
        <w:footnoteRef/>
      </w:r>
      <w:r>
        <w:t xml:space="preserve"> КБК на основе данных Сводной бюджетной росписи соответствующего бюджета. Автоматически подтягиваются данные по следующим направлениям по расходам:</w:t>
      </w:r>
      <w:r/>
    </w:p>
    <w:p>
      <w:pPr>
        <w:pStyle w:val="1012"/>
      </w:pPr>
      <w:r>
        <w:t xml:space="preserve">-</w:t>
      </w:r>
      <w:r>
        <w:tab/>
        <w:t xml:space="preserve">для Казначейских инфраструктурных кредитов (КИК):</w:t>
      </w:r>
      <w:r/>
    </w:p>
    <w:p>
      <w:pPr>
        <w:pStyle w:val="1012"/>
      </w:pPr>
      <w:r>
        <w:t xml:space="preserve">-</w:t>
      </w:r>
      <w:r>
        <w:tab/>
        <w:t xml:space="preserve">код целевой статьи расходов содержащие значения расходо</w:t>
      </w:r>
      <w:r>
        <w:t xml:space="preserve">в(</w:t>
      </w:r>
      <w:r>
        <w:t xml:space="preserve">КЦСР): 97500 – 97999.</w:t>
      </w:r>
      <w:r/>
    </w:p>
    <w:p>
      <w:pPr>
        <w:pStyle w:val="1012"/>
      </w:pPr>
      <w:r>
        <w:t xml:space="preserve">-</w:t>
      </w:r>
      <w:r>
        <w:tab/>
        <w:t xml:space="preserve">для Специальных казначейских расходов (СКК):</w:t>
      </w:r>
      <w:r/>
    </w:p>
    <w:p>
      <w:pPr>
        <w:pStyle w:val="1012"/>
      </w:pPr>
      <w:r>
        <w:t xml:space="preserve">-</w:t>
      </w:r>
      <w:r>
        <w:tab/>
        <w:t xml:space="preserve">код целевой статьи расходов содержащие значения расходо</w:t>
      </w:r>
      <w:r>
        <w:t xml:space="preserve">в(</w:t>
      </w:r>
      <w:r>
        <w:t xml:space="preserve">КЦСР): 97000 – 97499.</w:t>
      </w:r>
      <w:r/>
    </w:p>
    <w:p>
      <w:pPr>
        <w:pStyle w:val="1012"/>
      </w:pPr>
      <w:r>
        <w:t xml:space="preserve">-</w:t>
      </w:r>
      <w:r>
        <w:tab/>
        <w:t xml:space="preserve">для Инфраструктурных казначейских кредитов (ИБК):</w:t>
      </w:r>
      <w:r/>
    </w:p>
    <w:p>
      <w:pPr>
        <w:pStyle w:val="1012"/>
      </w:pPr>
      <w:r>
        <w:t xml:space="preserve">-</w:t>
      </w:r>
      <w:r>
        <w:tab/>
        <w:t xml:space="preserve">код целевой статьи расходов содержащие значения расходов (КЦСР): 98000 – 98599.</w:t>
      </w:r>
      <w:r/>
    </w:p>
  </w:footnote>
  <w:footnote w:id="4">
    <w:p>
      <w:pPr>
        <w:pStyle w:val="1012"/>
      </w:pPr>
      <w:r>
        <w:rPr>
          <w:rStyle w:val="1014"/>
        </w:rPr>
        <w:footnoteRef/>
      </w:r>
      <w:r>
        <w:t xml:space="preserve"> Справочник «Аналитические коды бюджетных кредитов» (АКБК) из НСИ ГИИС «Электронный бюджет»</w:t>
      </w:r>
      <w:r/>
    </w:p>
  </w:footnote>
  <w:footnote w:id="5">
    <w:p>
      <w:pPr>
        <w:pStyle w:val="1012"/>
      </w:pPr>
      <w:r>
        <w:rPr>
          <w:rStyle w:val="1014"/>
        </w:rPr>
        <w:footnoteRef/>
      </w:r>
      <w:r>
        <w:t xml:space="preserve"> Операцию « согласование» можно пропустить по желанию пользователя, установив галочку в </w:t>
      </w:r>
      <w:r>
        <w:t xml:space="preserve">соответствующем</w:t>
      </w:r>
      <w:r>
        <w:t xml:space="preserve"> чек-боксе 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pStyle w:val="807"/>
      <w:isLgl w:val="false"/>
      <w:suff w:val="tab"/>
      <w:lvlText w:val="%1"/>
      <w:lvlJc w:val="left"/>
      <w:pPr>
        <w:ind w:left="432" w:hanging="432"/>
      </w:pPr>
      <w:rPr>
        <w:sz w:val="32"/>
        <w:szCs w:val="16"/>
      </w:rPr>
    </w:lvl>
    <w:lvl w:ilvl="1">
      <w:start w:val="1"/>
      <w:numFmt w:val="decimal"/>
      <w:pStyle w:val="808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pStyle w:val="809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pStyle w:val="810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pStyle w:val="811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pStyle w:val="812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pStyle w:val="813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4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815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/>
        <w:sz w:val="28"/>
        <w:szCs w:val="22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)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)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)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)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pStyle w:val="1033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firstLine="207"/>
      </w:pPr>
      <w:rPr>
        <w:rFonts w:hint="default" w:ascii="Symbol" w:hAnsi="Symbol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3"/>
  </w:num>
  <w:num w:numId="7">
    <w:abstractNumId w:val="9"/>
  </w:num>
  <w:num w:numId="8">
    <w:abstractNumId w:val="11"/>
  </w:num>
  <w:num w:numId="9">
    <w:abstractNumId w:val="7"/>
  </w:num>
  <w:num w:numId="10">
    <w:abstractNumId w:val="8"/>
  </w:num>
  <w:num w:numId="11">
    <w:abstractNumId w:val="1"/>
  </w:num>
  <w:num w:numId="12">
    <w:abstractNumId w:val="5"/>
  </w:num>
  <w:num w:numId="13">
    <w:abstractNumId w:val="0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6" w:default="1">
    <w:name w:val="Normal"/>
    <w:qFormat/>
    <w:rPr>
      <w:rFonts w:ascii="Times New Roman" w:hAnsi="Times New Roman"/>
      <w:sz w:val="28"/>
    </w:rPr>
  </w:style>
  <w:style w:type="paragraph" w:styleId="807">
    <w:name w:val="Heading 1"/>
    <w:basedOn w:val="806"/>
    <w:next w:val="806"/>
    <w:link w:val="1026"/>
    <w:qFormat/>
    <w:pPr>
      <w:numPr>
        <w:ilvl w:val="0"/>
        <w:numId w:val="2"/>
      </w:numPr>
      <w:jc w:val="both"/>
      <w:keepNext/>
      <w:spacing w:before="120" w:after="120" w:line="240" w:lineRule="auto"/>
      <w:tabs>
        <w:tab w:val="left" w:pos="1134" w:leader="none"/>
      </w:tabs>
      <w:outlineLvl w:val="0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808">
    <w:name w:val="Heading 2"/>
    <w:basedOn w:val="806"/>
    <w:next w:val="806"/>
    <w:link w:val="1027"/>
    <w:qFormat/>
    <w:pPr>
      <w:numPr>
        <w:ilvl w:val="1"/>
        <w:numId w:val="2"/>
      </w:numPr>
      <w:jc w:val="both"/>
      <w:keepNext/>
      <w:spacing w:before="120" w:after="120" w:line="240" w:lineRule="auto"/>
      <w:outlineLvl w:val="1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809">
    <w:name w:val="Heading 3"/>
    <w:basedOn w:val="806"/>
    <w:next w:val="806"/>
    <w:link w:val="1028"/>
    <w:qFormat/>
    <w:pPr>
      <w:numPr>
        <w:ilvl w:val="2"/>
        <w:numId w:val="2"/>
      </w:numPr>
      <w:jc w:val="both"/>
      <w:keepNext/>
      <w:spacing w:before="360" w:after="120" w:line="240" w:lineRule="auto"/>
      <w:tabs>
        <w:tab w:val="left" w:pos="1276" w:leader="none"/>
      </w:tabs>
      <w:outlineLvl w:val="2"/>
    </w:pPr>
    <w:rPr>
      <w:rFonts w:eastAsia="Times New Roman" w:cs="Times New Roman"/>
      <w:b/>
      <w:bCs/>
      <w:color w:val="000000"/>
      <w:szCs w:val="28"/>
      <w:lang w:eastAsia="ru-RU"/>
    </w:rPr>
  </w:style>
  <w:style w:type="paragraph" w:styleId="810">
    <w:name w:val="Heading 4"/>
    <w:basedOn w:val="806"/>
    <w:next w:val="806"/>
    <w:link w:val="1029"/>
    <w:qFormat/>
    <w:pPr>
      <w:numPr>
        <w:ilvl w:val="3"/>
        <w:numId w:val="2"/>
      </w:numPr>
      <w:jc w:val="both"/>
      <w:spacing w:before="360" w:after="120" w:line="240" w:lineRule="auto"/>
      <w:outlineLvl w:val="3"/>
    </w:pPr>
    <w:rPr>
      <w:rFonts w:ascii="Arial" w:hAnsi="Arial" w:eastAsia="Times New Roman" w:cs="Times New Roman"/>
      <w:color w:val="000000"/>
      <w:szCs w:val="20"/>
      <w:lang w:eastAsia="ru-RU"/>
    </w:rPr>
  </w:style>
  <w:style w:type="paragraph" w:styleId="811">
    <w:name w:val="Heading 5"/>
    <w:basedOn w:val="806"/>
    <w:next w:val="806"/>
    <w:link w:val="871"/>
    <w:uiPriority w:val="9"/>
    <w:unhideWhenUsed/>
    <w:qFormat/>
    <w:pPr>
      <w:numPr>
        <w:ilvl w:val="4"/>
        <w:numId w:val="2"/>
      </w:num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2">
    <w:name w:val="Heading 6"/>
    <w:basedOn w:val="806"/>
    <w:next w:val="806"/>
    <w:link w:val="872"/>
    <w:uiPriority w:val="9"/>
    <w:unhideWhenUsed/>
    <w:qFormat/>
    <w:pPr>
      <w:numPr>
        <w:ilvl w:val="5"/>
        <w:numId w:val="2"/>
      </w:num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813">
    <w:name w:val="Heading 7"/>
    <w:basedOn w:val="806"/>
    <w:next w:val="806"/>
    <w:link w:val="873"/>
    <w:uiPriority w:val="9"/>
    <w:unhideWhenUsed/>
    <w:qFormat/>
    <w:pPr>
      <w:numPr>
        <w:ilvl w:val="6"/>
        <w:numId w:val="2"/>
      </w:num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14">
    <w:name w:val="Heading 8"/>
    <w:basedOn w:val="806"/>
    <w:next w:val="806"/>
    <w:link w:val="874"/>
    <w:uiPriority w:val="9"/>
    <w:unhideWhenUsed/>
    <w:qFormat/>
    <w:pPr>
      <w:numPr>
        <w:ilvl w:val="7"/>
        <w:numId w:val="2"/>
      </w:num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15">
    <w:name w:val="Heading 9"/>
    <w:basedOn w:val="806"/>
    <w:next w:val="806"/>
    <w:link w:val="875"/>
    <w:uiPriority w:val="9"/>
    <w:unhideWhenUsed/>
    <w:qFormat/>
    <w:pPr>
      <w:numPr>
        <w:ilvl w:val="8"/>
        <w:numId w:val="2"/>
      </w:num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6" w:default="1">
    <w:name w:val="Default Paragraph Font"/>
    <w:uiPriority w:val="1"/>
    <w:semiHidden/>
    <w:unhideWhenUsed/>
  </w:style>
  <w:style w:type="table" w:styleId="8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table" w:styleId="819" w:customStyle="1">
    <w:name w:val="Plain Table 1"/>
    <w:basedOn w:val="81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0" w:customStyle="1">
    <w:name w:val="Plain Table 2"/>
    <w:basedOn w:val="81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 w:customStyle="1">
    <w:name w:val="Plain Table 3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2" w:customStyle="1">
    <w:name w:val="Plain Table 4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Plain Table 5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1 Light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4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 w:customStyle="1">
    <w:name w:val="Grid Table 5 Dark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6 Colorful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0" w:customStyle="1">
    <w:name w:val="Grid Table 7 Colorful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1 Light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3" w:customStyle="1">
    <w:name w:val="List Table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5 Dark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6 Colorful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7" w:customStyle="1">
    <w:name w:val="List Table 7 Colorful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Таблица простая 11"/>
    <w:basedOn w:val="81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9" w:customStyle="1">
    <w:name w:val="Таблица простая 21"/>
    <w:basedOn w:val="81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 w:customStyle="1">
    <w:name w:val="Таблица простая 3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aps/>
        <w:color w:val="404040"/>
        <w:sz w:val="22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rFonts w:ascii="Arial" w:hAnsi="Arial"/>
        <w:b/>
        <w:caps/>
        <w:color w:val="404040"/>
        <w:sz w:val="22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aps/>
        <w:color w:val="404040"/>
        <w:sz w:val="22"/>
      </w:rPr>
    </w:tblStylePr>
    <w:tblStylePr w:type="lastRow">
      <w:rPr>
        <w:rFonts w:ascii="Arial" w:hAnsi="Arial"/>
        <w:b/>
        <w:caps/>
        <w:color w:val="404040"/>
        <w:sz w:val="22"/>
      </w:rPr>
    </w:tblStylePr>
  </w:style>
  <w:style w:type="table" w:styleId="841" w:customStyle="1">
    <w:name w:val="Таблица простая 4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Таблица простая 5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3" w:customStyle="1">
    <w:name w:val="Таблица-сетка 1 светл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Таблица-сетка 2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Таблица-сетка 3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41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7" w:customStyle="1">
    <w:name w:val="Таблица-сетка 5 тем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8" w:customStyle="1">
    <w:name w:val="Таблица-сетка 6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9" w:customStyle="1">
    <w:name w:val="Таблица-сетка 7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Список-таблица 1 светлая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Список-таблица 2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2" w:customStyle="1">
    <w:name w:val="Список-таблица 3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Список-таблица 4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Список-таблица 5 тем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Список-таблица 6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Список-таблица 7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57" w:customStyle="1">
    <w:name w:val="Heading 5 Char"/>
    <w:basedOn w:val="816"/>
    <w:uiPriority w:val="9"/>
    <w:rPr>
      <w:rFonts w:ascii="Arial" w:hAnsi="Arial" w:eastAsia="Arial" w:cs="Arial"/>
      <w:b/>
      <w:bCs/>
      <w:sz w:val="24"/>
      <w:szCs w:val="24"/>
    </w:rPr>
  </w:style>
  <w:style w:type="character" w:styleId="858" w:customStyle="1">
    <w:name w:val="Heading 6 Char"/>
    <w:basedOn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59" w:customStyle="1">
    <w:name w:val="Heading 7 Char"/>
    <w:basedOn w:val="8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0" w:customStyle="1">
    <w:name w:val="Heading 8 Char"/>
    <w:basedOn w:val="816"/>
    <w:uiPriority w:val="9"/>
    <w:rPr>
      <w:rFonts w:ascii="Arial" w:hAnsi="Arial" w:eastAsia="Arial" w:cs="Arial"/>
      <w:i/>
      <w:iCs/>
      <w:sz w:val="22"/>
      <w:szCs w:val="22"/>
    </w:rPr>
  </w:style>
  <w:style w:type="character" w:styleId="861" w:customStyle="1">
    <w:name w:val="Heading 9 Char"/>
    <w:basedOn w:val="816"/>
    <w:uiPriority w:val="9"/>
    <w:rPr>
      <w:rFonts w:ascii="Arial" w:hAnsi="Arial" w:eastAsia="Arial" w:cs="Arial"/>
      <w:i/>
      <w:iCs/>
      <w:sz w:val="21"/>
      <w:szCs w:val="21"/>
    </w:rPr>
  </w:style>
  <w:style w:type="character" w:styleId="862" w:customStyle="1">
    <w:name w:val="Title Char"/>
    <w:basedOn w:val="816"/>
    <w:uiPriority w:val="10"/>
    <w:rPr>
      <w:sz w:val="48"/>
      <w:szCs w:val="48"/>
    </w:rPr>
  </w:style>
  <w:style w:type="character" w:styleId="863" w:customStyle="1">
    <w:name w:val="Quote Char"/>
    <w:uiPriority w:val="29"/>
    <w:rPr>
      <w:i/>
    </w:rPr>
  </w:style>
  <w:style w:type="character" w:styleId="864" w:customStyle="1">
    <w:name w:val="Intense Quote Char"/>
    <w:uiPriority w:val="30"/>
    <w:rPr>
      <w:i/>
    </w:rPr>
  </w:style>
  <w:style w:type="character" w:styleId="865" w:customStyle="1">
    <w:name w:val="Footnote Text Char"/>
    <w:uiPriority w:val="99"/>
    <w:rPr>
      <w:sz w:val="18"/>
    </w:rPr>
  </w:style>
  <w:style w:type="character" w:styleId="866" w:customStyle="1">
    <w:name w:val="Endnote Text Char"/>
    <w:uiPriority w:val="99"/>
    <w:rPr>
      <w:sz w:val="20"/>
    </w:rPr>
  </w:style>
  <w:style w:type="character" w:styleId="867" w:customStyle="1">
    <w:name w:val="Heading 1 Char"/>
    <w:basedOn w:val="816"/>
    <w:uiPriority w:val="9"/>
    <w:rPr>
      <w:rFonts w:ascii="Arial" w:hAnsi="Arial" w:eastAsia="Arial" w:cs="Arial"/>
      <w:sz w:val="40"/>
      <w:szCs w:val="40"/>
    </w:rPr>
  </w:style>
  <w:style w:type="character" w:styleId="868" w:customStyle="1">
    <w:name w:val="Heading 2 Char"/>
    <w:basedOn w:val="816"/>
    <w:uiPriority w:val="9"/>
    <w:rPr>
      <w:rFonts w:ascii="Arial" w:hAnsi="Arial" w:eastAsia="Arial" w:cs="Arial"/>
      <w:sz w:val="34"/>
    </w:rPr>
  </w:style>
  <w:style w:type="character" w:styleId="869" w:customStyle="1">
    <w:name w:val="Heading 3 Char"/>
    <w:basedOn w:val="816"/>
    <w:uiPriority w:val="9"/>
    <w:rPr>
      <w:rFonts w:ascii="Arial" w:hAnsi="Arial" w:eastAsia="Arial" w:cs="Arial"/>
      <w:sz w:val="30"/>
      <w:szCs w:val="30"/>
    </w:rPr>
  </w:style>
  <w:style w:type="character" w:styleId="870" w:customStyle="1">
    <w:name w:val="Heading 4 Char"/>
    <w:basedOn w:val="816"/>
    <w:uiPriority w:val="9"/>
    <w:rPr>
      <w:rFonts w:ascii="Arial" w:hAnsi="Arial" w:eastAsia="Arial" w:cs="Arial"/>
      <w:b/>
      <w:bCs/>
      <w:sz w:val="26"/>
      <w:szCs w:val="26"/>
    </w:rPr>
  </w:style>
  <w:style w:type="character" w:styleId="871" w:customStyle="1">
    <w:name w:val="Заголовок 5 Знак"/>
    <w:basedOn w:val="816"/>
    <w:link w:val="811"/>
    <w:uiPriority w:val="9"/>
    <w:rPr>
      <w:rFonts w:ascii="Arial" w:hAnsi="Arial" w:eastAsia="Arial" w:cs="Arial"/>
      <w:b/>
      <w:bCs/>
      <w:sz w:val="24"/>
      <w:szCs w:val="24"/>
    </w:rPr>
  </w:style>
  <w:style w:type="character" w:styleId="872" w:customStyle="1">
    <w:name w:val="Заголовок 6 Знак"/>
    <w:basedOn w:val="816"/>
    <w:link w:val="812"/>
    <w:uiPriority w:val="9"/>
    <w:rPr>
      <w:rFonts w:ascii="Arial" w:hAnsi="Arial" w:eastAsia="Arial" w:cs="Arial"/>
      <w:b/>
      <w:bCs/>
      <w:sz w:val="28"/>
    </w:rPr>
  </w:style>
  <w:style w:type="character" w:styleId="873" w:customStyle="1">
    <w:name w:val="Заголовок 7 Знак"/>
    <w:basedOn w:val="816"/>
    <w:link w:val="813"/>
    <w:uiPriority w:val="9"/>
    <w:rPr>
      <w:rFonts w:ascii="Arial" w:hAnsi="Arial" w:eastAsia="Arial" w:cs="Arial"/>
      <w:b/>
      <w:bCs/>
      <w:i/>
      <w:iCs/>
      <w:sz w:val="28"/>
    </w:rPr>
  </w:style>
  <w:style w:type="character" w:styleId="874" w:customStyle="1">
    <w:name w:val="Заголовок 8 Знак"/>
    <w:basedOn w:val="816"/>
    <w:link w:val="814"/>
    <w:uiPriority w:val="9"/>
    <w:rPr>
      <w:rFonts w:ascii="Arial" w:hAnsi="Arial" w:eastAsia="Arial" w:cs="Arial"/>
      <w:i/>
      <w:iCs/>
      <w:sz w:val="28"/>
    </w:rPr>
  </w:style>
  <w:style w:type="character" w:styleId="875" w:customStyle="1">
    <w:name w:val="Заголовок 9 Знак"/>
    <w:basedOn w:val="816"/>
    <w:link w:val="815"/>
    <w:uiPriority w:val="9"/>
    <w:rPr>
      <w:rFonts w:ascii="Arial" w:hAnsi="Arial" w:eastAsia="Arial" w:cs="Arial"/>
      <w:i/>
      <w:iCs/>
      <w:sz w:val="21"/>
      <w:szCs w:val="21"/>
    </w:rPr>
  </w:style>
  <w:style w:type="paragraph" w:styleId="876">
    <w:name w:val="No Spacing"/>
    <w:uiPriority w:val="1"/>
    <w:qFormat/>
    <w:pPr>
      <w:spacing w:after="0" w:line="240" w:lineRule="auto"/>
    </w:pPr>
  </w:style>
  <w:style w:type="paragraph" w:styleId="877">
    <w:name w:val="Title"/>
    <w:basedOn w:val="806"/>
    <w:next w:val="806"/>
    <w:link w:val="878"/>
    <w:uiPriority w:val="10"/>
    <w:qFormat/>
    <w:pPr>
      <w:contextualSpacing/>
      <w:spacing w:before="300"/>
    </w:pPr>
    <w:rPr>
      <w:sz w:val="48"/>
      <w:szCs w:val="48"/>
    </w:rPr>
  </w:style>
  <w:style w:type="character" w:styleId="878" w:customStyle="1">
    <w:name w:val="Название Знак"/>
    <w:basedOn w:val="816"/>
    <w:link w:val="877"/>
    <w:uiPriority w:val="10"/>
    <w:rPr>
      <w:sz w:val="48"/>
      <w:szCs w:val="48"/>
    </w:rPr>
  </w:style>
  <w:style w:type="character" w:styleId="879" w:customStyle="1">
    <w:name w:val="Subtitle Char"/>
    <w:basedOn w:val="816"/>
    <w:uiPriority w:val="11"/>
    <w:rPr>
      <w:sz w:val="24"/>
      <w:szCs w:val="24"/>
    </w:rPr>
  </w:style>
  <w:style w:type="paragraph" w:styleId="880">
    <w:name w:val="Quote"/>
    <w:basedOn w:val="806"/>
    <w:next w:val="806"/>
    <w:link w:val="881"/>
    <w:uiPriority w:val="29"/>
    <w:qFormat/>
    <w:pPr>
      <w:ind w:left="720" w:right="720"/>
    </w:pPr>
    <w:rPr>
      <w:i/>
    </w:rPr>
  </w:style>
  <w:style w:type="character" w:styleId="881" w:customStyle="1">
    <w:name w:val="Цитата 2 Знак"/>
    <w:link w:val="880"/>
    <w:uiPriority w:val="29"/>
    <w:rPr>
      <w:i/>
    </w:rPr>
  </w:style>
  <w:style w:type="paragraph" w:styleId="882">
    <w:name w:val="Intense Quote"/>
    <w:basedOn w:val="806"/>
    <w:next w:val="806"/>
    <w:link w:val="8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83" w:customStyle="1">
    <w:name w:val="Выделенная цитата Знак"/>
    <w:link w:val="882"/>
    <w:uiPriority w:val="30"/>
    <w:rPr>
      <w:i/>
    </w:rPr>
  </w:style>
  <w:style w:type="character" w:styleId="884" w:customStyle="1">
    <w:name w:val="Header Char"/>
    <w:basedOn w:val="816"/>
    <w:uiPriority w:val="99"/>
  </w:style>
  <w:style w:type="character" w:styleId="885" w:customStyle="1">
    <w:name w:val="Footer Char"/>
    <w:basedOn w:val="816"/>
    <w:uiPriority w:val="99"/>
  </w:style>
  <w:style w:type="character" w:styleId="886" w:customStyle="1">
    <w:name w:val="Caption Char"/>
    <w:uiPriority w:val="99"/>
  </w:style>
  <w:style w:type="table" w:styleId="887" w:customStyle="1">
    <w:name w:val="Table Grid Light"/>
    <w:basedOn w:val="81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8" w:customStyle="1">
    <w:name w:val="Таблица простая 11"/>
    <w:basedOn w:val="81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9" w:customStyle="1">
    <w:name w:val="Таблица простая 21"/>
    <w:basedOn w:val="81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0" w:customStyle="1">
    <w:name w:val="Таблица простая 3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91" w:customStyle="1">
    <w:name w:val="Таблица простая 4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Таблица простая 5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3" w:customStyle="1">
    <w:name w:val="Таблица-сетка 1 светл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Grid Table 1 Light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Grid Table 1 Light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Grid Table 1 Light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Grid Table 1 Light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Grid Table 1 Light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Grid Table 1 Light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Таблица-сетка 2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2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2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2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2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2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2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3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3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3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3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3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3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3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Таблица-сетка 41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5" w:customStyle="1">
    <w:name w:val="Grid Table 4 - Accent 1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16" w:customStyle="1">
    <w:name w:val="Grid Table 4 - Accent 2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17" w:customStyle="1">
    <w:name w:val="Grid Table 4 - Accent 3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18" w:customStyle="1">
    <w:name w:val="Grid Table 4 - Accent 4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19" w:customStyle="1">
    <w:name w:val="Grid Table 4 - Accent 5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20" w:customStyle="1">
    <w:name w:val="Grid Table 4 - Accent 6"/>
    <w:basedOn w:val="8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21" w:customStyle="1">
    <w:name w:val="Таблица-сетка 5 тем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22" w:customStyle="1">
    <w:name w:val="Grid Table 5 Dark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23" w:customStyle="1">
    <w:name w:val="Grid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24" w:customStyle="1">
    <w:name w:val="Grid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25" w:customStyle="1">
    <w:name w:val="Grid Table 5 Dark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26" w:customStyle="1">
    <w:name w:val="Grid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27" w:customStyle="1">
    <w:name w:val="Grid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28" w:customStyle="1">
    <w:name w:val="Таблица-сетка 6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9" w:customStyle="1">
    <w:name w:val="Grid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30" w:customStyle="1">
    <w:name w:val="Grid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31" w:customStyle="1">
    <w:name w:val="Grid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32" w:customStyle="1">
    <w:name w:val="Grid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33" w:customStyle="1">
    <w:name w:val="Grid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34" w:customStyle="1">
    <w:name w:val="Grid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35" w:customStyle="1">
    <w:name w:val="Таблица-сетка 7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Grid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Grid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Grid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Список-таблица 1 светлая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1 Light - Accent 1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1 Light - Accent 2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1 Light - Accent 3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1 Light - Accent 4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1 Light - Accent 5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1 Light - Accent 6"/>
    <w:basedOn w:val="8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Список-таблица 2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50" w:customStyle="1">
    <w:name w:val="List Table 2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51" w:customStyle="1">
    <w:name w:val="List Table 2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52" w:customStyle="1">
    <w:name w:val="List Table 2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53" w:customStyle="1">
    <w:name w:val="List Table 2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54" w:customStyle="1">
    <w:name w:val="List Table 2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55" w:customStyle="1">
    <w:name w:val="List Table 2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56" w:customStyle="1">
    <w:name w:val="Список-таблица 3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3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3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3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3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3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3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Список-таблица 4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List Table 4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List Table 4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 w:customStyle="1">
    <w:name w:val="List Table 4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List Table 4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 w:customStyle="1">
    <w:name w:val="List Table 4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 w:customStyle="1">
    <w:name w:val="List Table 4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 w:customStyle="1">
    <w:name w:val="Список-таблица 5 тем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1" w:customStyle="1">
    <w:name w:val="List Table 5 Dark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2" w:customStyle="1">
    <w:name w:val="List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3" w:customStyle="1">
    <w:name w:val="List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4" w:customStyle="1">
    <w:name w:val="List Table 5 Dark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5" w:customStyle="1">
    <w:name w:val="List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6" w:customStyle="1">
    <w:name w:val="List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7" w:customStyle="1">
    <w:name w:val="Список-таблица 6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8" w:customStyle="1">
    <w:name w:val="List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79" w:customStyle="1">
    <w:name w:val="List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80" w:customStyle="1">
    <w:name w:val="List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81" w:customStyle="1">
    <w:name w:val="List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82" w:customStyle="1">
    <w:name w:val="List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83" w:customStyle="1">
    <w:name w:val="List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84" w:customStyle="1">
    <w:name w:val="Список-таблица 7 цветная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List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st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List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List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Lined - Accent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2" w:customStyle="1">
    <w:name w:val="Lined - Accent 1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3" w:customStyle="1">
    <w:name w:val="Lined - Accent 2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4" w:customStyle="1">
    <w:name w:val="Lined - Accent 3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5" w:customStyle="1">
    <w:name w:val="Lined - Accent 4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6" w:customStyle="1">
    <w:name w:val="Lined - Accent 5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7" w:customStyle="1">
    <w:name w:val="Lined - Accent 6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8" w:customStyle="1">
    <w:name w:val="Bordered &amp; Lined - Accent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9" w:customStyle="1">
    <w:name w:val="Bordered &amp; Lined - Accent 1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00" w:customStyle="1">
    <w:name w:val="Bordered &amp; Lined - Accent 2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01" w:customStyle="1">
    <w:name w:val="Bordered &amp; Lined - Accent 3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02" w:customStyle="1">
    <w:name w:val="Bordered &amp; Lined - Accent 4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03" w:customStyle="1">
    <w:name w:val="Bordered &amp; Lined - Accent 5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04" w:customStyle="1">
    <w:name w:val="Bordered &amp; Lined - Accent 6"/>
    <w:basedOn w:val="8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05" w:customStyle="1">
    <w:name w:val="Bordered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06" w:customStyle="1">
    <w:name w:val="Bordered - Accent 1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07" w:customStyle="1">
    <w:name w:val="Bordered - Accent 2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08" w:customStyle="1">
    <w:name w:val="Bordered - Accent 3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09" w:customStyle="1">
    <w:name w:val="Bordered - Accent 4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10" w:customStyle="1">
    <w:name w:val="Bordered - Accent 5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11" w:customStyle="1">
    <w:name w:val="Bordered - Accent 6"/>
    <w:basedOn w:val="8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012">
    <w:name w:val="footnote text"/>
    <w:basedOn w:val="806"/>
    <w:link w:val="1013"/>
    <w:uiPriority w:val="99"/>
    <w:semiHidden/>
    <w:unhideWhenUsed/>
    <w:pPr>
      <w:spacing w:after="40" w:line="240" w:lineRule="auto"/>
    </w:pPr>
    <w:rPr>
      <w:sz w:val="18"/>
    </w:rPr>
  </w:style>
  <w:style w:type="character" w:styleId="1013" w:customStyle="1">
    <w:name w:val="Текст сноски Знак"/>
    <w:link w:val="1012"/>
    <w:uiPriority w:val="99"/>
    <w:rPr>
      <w:sz w:val="18"/>
    </w:rPr>
  </w:style>
  <w:style w:type="character" w:styleId="1014">
    <w:name w:val="footnote reference"/>
    <w:basedOn w:val="816"/>
    <w:uiPriority w:val="99"/>
    <w:unhideWhenUsed/>
    <w:rPr>
      <w:vertAlign w:val="superscript"/>
    </w:rPr>
  </w:style>
  <w:style w:type="paragraph" w:styleId="1015">
    <w:name w:val="endnote text"/>
    <w:basedOn w:val="806"/>
    <w:link w:val="1016"/>
    <w:uiPriority w:val="99"/>
    <w:semiHidden/>
    <w:unhideWhenUsed/>
    <w:pPr>
      <w:spacing w:after="0" w:line="240" w:lineRule="auto"/>
    </w:pPr>
    <w:rPr>
      <w:sz w:val="20"/>
    </w:rPr>
  </w:style>
  <w:style w:type="character" w:styleId="1016" w:customStyle="1">
    <w:name w:val="Текст концевой сноски Знак"/>
    <w:link w:val="1015"/>
    <w:uiPriority w:val="99"/>
    <w:rPr>
      <w:sz w:val="20"/>
    </w:rPr>
  </w:style>
  <w:style w:type="character" w:styleId="1017">
    <w:name w:val="endnote reference"/>
    <w:basedOn w:val="816"/>
    <w:uiPriority w:val="99"/>
    <w:semiHidden/>
    <w:unhideWhenUsed/>
    <w:rPr>
      <w:vertAlign w:val="superscript"/>
    </w:rPr>
  </w:style>
  <w:style w:type="paragraph" w:styleId="1018">
    <w:name w:val="toc 3"/>
    <w:basedOn w:val="806"/>
    <w:next w:val="806"/>
    <w:uiPriority w:val="39"/>
    <w:unhideWhenUsed/>
    <w:pPr>
      <w:ind w:left="567"/>
      <w:jc w:val="both"/>
      <w:spacing w:after="57"/>
      <w:tabs>
        <w:tab w:val="left" w:pos="1417" w:leader="none"/>
        <w:tab w:val="right" w:pos="9345" w:leader="dot"/>
      </w:tabs>
    </w:pPr>
    <w:rPr>
      <w:rFonts w:cs="Times New Roman"/>
      <w:szCs w:val="28"/>
    </w:rPr>
  </w:style>
  <w:style w:type="paragraph" w:styleId="1019">
    <w:name w:val="toc 4"/>
    <w:basedOn w:val="806"/>
    <w:next w:val="806"/>
    <w:uiPriority w:val="39"/>
    <w:unhideWhenUsed/>
    <w:pPr>
      <w:ind w:left="850"/>
      <w:spacing w:after="57"/>
    </w:pPr>
  </w:style>
  <w:style w:type="paragraph" w:styleId="1020">
    <w:name w:val="toc 5"/>
    <w:basedOn w:val="806"/>
    <w:next w:val="806"/>
    <w:uiPriority w:val="39"/>
    <w:unhideWhenUsed/>
    <w:pPr>
      <w:ind w:left="1134"/>
      <w:spacing w:after="57"/>
    </w:pPr>
  </w:style>
  <w:style w:type="paragraph" w:styleId="1021">
    <w:name w:val="toc 6"/>
    <w:basedOn w:val="806"/>
    <w:next w:val="806"/>
    <w:uiPriority w:val="39"/>
    <w:unhideWhenUsed/>
    <w:pPr>
      <w:ind w:left="1417"/>
      <w:spacing w:after="57"/>
    </w:pPr>
  </w:style>
  <w:style w:type="paragraph" w:styleId="1022">
    <w:name w:val="toc 7"/>
    <w:basedOn w:val="806"/>
    <w:next w:val="806"/>
    <w:uiPriority w:val="39"/>
    <w:unhideWhenUsed/>
    <w:pPr>
      <w:ind w:left="1701"/>
      <w:spacing w:after="57"/>
    </w:pPr>
  </w:style>
  <w:style w:type="paragraph" w:styleId="1023">
    <w:name w:val="toc 8"/>
    <w:basedOn w:val="806"/>
    <w:next w:val="806"/>
    <w:uiPriority w:val="39"/>
    <w:unhideWhenUsed/>
    <w:pPr>
      <w:ind w:left="1984"/>
      <w:spacing w:after="57"/>
    </w:pPr>
  </w:style>
  <w:style w:type="paragraph" w:styleId="1024">
    <w:name w:val="toc 9"/>
    <w:basedOn w:val="806"/>
    <w:next w:val="806"/>
    <w:uiPriority w:val="39"/>
    <w:unhideWhenUsed/>
    <w:pPr>
      <w:ind w:left="2268"/>
      <w:spacing w:after="57"/>
    </w:pPr>
  </w:style>
  <w:style w:type="paragraph" w:styleId="1025">
    <w:name w:val="table of figures"/>
    <w:basedOn w:val="806"/>
    <w:next w:val="806"/>
    <w:uiPriority w:val="99"/>
    <w:unhideWhenUsed/>
    <w:pPr>
      <w:spacing w:after="0"/>
    </w:pPr>
  </w:style>
  <w:style w:type="character" w:styleId="1026" w:customStyle="1">
    <w:name w:val="Заголовок 1 Знак"/>
    <w:basedOn w:val="816"/>
    <w:link w:val="807"/>
    <w:rPr>
      <w:rFonts w:ascii="Times New Roman" w:hAnsi="Times New Roman" w:eastAsia="Times New Roman" w:cs="Times New Roman"/>
      <w:b/>
      <w:bCs/>
      <w:color w:val="000000"/>
      <w:sz w:val="32"/>
      <w:szCs w:val="20"/>
      <w:lang w:eastAsia="ru-RU"/>
    </w:rPr>
  </w:style>
  <w:style w:type="character" w:styleId="1027" w:customStyle="1">
    <w:name w:val="Заголовок 2 Знак"/>
    <w:basedOn w:val="816"/>
    <w:link w:val="808"/>
    <w:rPr>
      <w:rFonts w:ascii="Times New Roman" w:hAnsi="Times New Roman" w:eastAsia="Times New Roman" w:cs="Times New Roman"/>
      <w:b/>
      <w:bCs/>
      <w:color w:val="000000"/>
      <w:sz w:val="32"/>
      <w:szCs w:val="20"/>
      <w:lang w:eastAsia="ru-RU"/>
    </w:rPr>
  </w:style>
  <w:style w:type="character" w:styleId="1028" w:customStyle="1">
    <w:name w:val="Заголовок 3 Знак"/>
    <w:basedOn w:val="816"/>
    <w:link w:val="809"/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character" w:styleId="1029" w:customStyle="1">
    <w:name w:val="Заголовок 4 Знак"/>
    <w:basedOn w:val="816"/>
    <w:link w:val="810"/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character" w:styleId="1030">
    <w:name w:val="Hyperlink"/>
    <w:uiPriority w:val="99"/>
    <w:rPr>
      <w:rFonts w:ascii="Times New Roman" w:hAnsi="Times New Roman"/>
      <w:color w:val="0000ff"/>
      <w:u w:val="single"/>
    </w:rPr>
  </w:style>
  <w:style w:type="paragraph" w:styleId="1031">
    <w:name w:val="Body Text"/>
    <w:basedOn w:val="806"/>
    <w:link w:val="1032"/>
    <w:pPr>
      <w:ind w:firstLine="567"/>
      <w:jc w:val="both"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styleId="1032" w:customStyle="1">
    <w:name w:val="Основной текст Знак"/>
    <w:basedOn w:val="816"/>
    <w:link w:val="103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033" w:customStyle="1">
    <w:name w:val="Список маркированный уровень 1"/>
    <w:basedOn w:val="806"/>
    <w:pPr>
      <w:numPr>
        <w:ilvl w:val="0"/>
        <w:numId w:val="1"/>
      </w:numPr>
      <w:jc w:val="both"/>
      <w:keepLines/>
      <w:spacing w:before="120" w:after="120" w:line="240" w:lineRule="auto"/>
    </w:pPr>
    <w:rPr>
      <w:rFonts w:eastAsia="Times New Roman" w:cs="Times New Roman"/>
      <w:szCs w:val="20"/>
      <w:lang w:eastAsia="ru-RU"/>
    </w:rPr>
  </w:style>
  <w:style w:type="paragraph" w:styleId="1034">
    <w:name w:val="Balloon Text"/>
    <w:basedOn w:val="806"/>
    <w:link w:val="103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35" w:customStyle="1">
    <w:name w:val="Текст выноски Знак"/>
    <w:basedOn w:val="816"/>
    <w:link w:val="1034"/>
    <w:uiPriority w:val="99"/>
    <w:semiHidden/>
    <w:rPr>
      <w:rFonts w:ascii="Tahoma" w:hAnsi="Tahoma" w:cs="Tahoma"/>
      <w:sz w:val="16"/>
      <w:szCs w:val="16"/>
    </w:rPr>
  </w:style>
  <w:style w:type="paragraph" w:styleId="1036" w:customStyle="1">
    <w:name w:val="Таблица - наименование"/>
    <w:basedOn w:val="806"/>
    <w:qFormat/>
    <w:pPr>
      <w:keepNext/>
      <w:spacing w:before="120" w:after="60" w:line="240" w:lineRule="auto"/>
    </w:pPr>
    <w:rPr>
      <w:rFonts w:eastAsia="Times New Roman" w:cs="Times New Roman"/>
      <w:szCs w:val="20"/>
      <w:lang w:eastAsia="ru-RU"/>
    </w:rPr>
  </w:style>
  <w:style w:type="table" w:styleId="1037">
    <w:name w:val="Table Grid"/>
    <w:basedOn w:val="817"/>
    <w:uiPriority w:val="39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8" w:customStyle="1">
    <w:name w:val="Таблица (12) - осн. текст"/>
    <w:basedOn w:val="806"/>
    <w:link w:val="1062"/>
    <w:qFormat/>
    <w:pPr>
      <w:ind w:firstLine="34"/>
      <w:jc w:val="both"/>
      <w:spacing w:before="60" w:after="6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styleId="1039">
    <w:name w:val="List Paragraph"/>
    <w:basedOn w:val="806"/>
    <w:uiPriority w:val="34"/>
    <w:qFormat/>
    <w:pPr>
      <w:contextualSpacing/>
      <w:ind w:left="720"/>
    </w:pPr>
  </w:style>
  <w:style w:type="paragraph" w:styleId="1040">
    <w:name w:val="TOC Heading"/>
    <w:basedOn w:val="807"/>
    <w:next w:val="806"/>
    <w:uiPriority w:val="39"/>
    <w:unhideWhenUsed/>
    <w:qFormat/>
    <w:pPr>
      <w:numPr>
        <w:ilvl w:val="0"/>
        <w:numId w:val="0"/>
      </w:num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65f91" w:themeColor="accent1" w:themeShade="BF"/>
      <w:sz w:val="28"/>
      <w:szCs w:val="28"/>
    </w:rPr>
  </w:style>
  <w:style w:type="paragraph" w:styleId="1041">
    <w:name w:val="toc 1"/>
    <w:basedOn w:val="806"/>
    <w:next w:val="806"/>
    <w:uiPriority w:val="39"/>
    <w:unhideWhenUsed/>
    <w:pPr>
      <w:spacing w:after="100"/>
      <w:tabs>
        <w:tab w:val="left" w:pos="426" w:leader="none"/>
        <w:tab w:val="right" w:pos="9345" w:leader="dot"/>
      </w:tabs>
    </w:pPr>
    <w:rPr>
      <w:rFonts w:cs="Times New Roman"/>
      <w:szCs w:val="28"/>
    </w:rPr>
  </w:style>
  <w:style w:type="paragraph" w:styleId="1042">
    <w:name w:val="toc 2"/>
    <w:basedOn w:val="806"/>
    <w:next w:val="806"/>
    <w:uiPriority w:val="39"/>
    <w:unhideWhenUsed/>
    <w:pPr>
      <w:ind w:left="220"/>
      <w:spacing w:after="100"/>
      <w:tabs>
        <w:tab w:val="left" w:pos="850" w:leader="none"/>
        <w:tab w:val="right" w:pos="9345" w:leader="dot"/>
      </w:tabs>
    </w:pPr>
    <w:rPr>
      <w:rFonts w:cs="Times New Roman"/>
      <w:szCs w:val="28"/>
    </w:rPr>
  </w:style>
  <w:style w:type="paragraph" w:styleId="1043">
    <w:name w:val="Caption"/>
    <w:basedOn w:val="806"/>
    <w:next w:val="806"/>
    <w:uiPriority w:val="35"/>
    <w:unhideWhenUsed/>
    <w:qFormat/>
    <w:pPr>
      <w:jc w:val="both"/>
      <w:keepNext/>
      <w:spacing w:after="120" w:line="240" w:lineRule="auto"/>
    </w:pPr>
    <w:rPr>
      <w:rFonts w:cs="Times New Roman"/>
      <w:bCs/>
      <w:szCs w:val="20"/>
    </w:rPr>
  </w:style>
  <w:style w:type="character" w:styleId="1044">
    <w:name w:val="annotation reference"/>
    <w:basedOn w:val="816"/>
    <w:uiPriority w:val="99"/>
    <w:semiHidden/>
    <w:unhideWhenUsed/>
    <w:rPr>
      <w:sz w:val="16"/>
      <w:szCs w:val="16"/>
    </w:rPr>
  </w:style>
  <w:style w:type="paragraph" w:styleId="1045">
    <w:name w:val="annotation text"/>
    <w:basedOn w:val="806"/>
    <w:link w:val="104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46" w:customStyle="1">
    <w:name w:val="Текст примечания Знак"/>
    <w:basedOn w:val="816"/>
    <w:link w:val="1045"/>
    <w:uiPriority w:val="99"/>
    <w:semiHidden/>
    <w:rPr>
      <w:sz w:val="20"/>
      <w:szCs w:val="20"/>
    </w:rPr>
  </w:style>
  <w:style w:type="paragraph" w:styleId="1047">
    <w:name w:val="annotation subject"/>
    <w:basedOn w:val="1045"/>
    <w:next w:val="1045"/>
    <w:link w:val="1048"/>
    <w:uiPriority w:val="99"/>
    <w:semiHidden/>
    <w:unhideWhenUsed/>
    <w:rPr>
      <w:b/>
      <w:bCs/>
    </w:rPr>
  </w:style>
  <w:style w:type="character" w:styleId="1048" w:customStyle="1">
    <w:name w:val="Тема примечания Знак"/>
    <w:basedOn w:val="1046"/>
    <w:link w:val="1047"/>
    <w:uiPriority w:val="99"/>
    <w:semiHidden/>
    <w:rPr>
      <w:b/>
      <w:bCs/>
      <w:sz w:val="20"/>
      <w:szCs w:val="20"/>
    </w:rPr>
  </w:style>
  <w:style w:type="paragraph" w:styleId="1049">
    <w:name w:val="Subtitle"/>
    <w:basedOn w:val="806"/>
    <w:next w:val="806"/>
    <w:link w:val="1050"/>
    <w:uiPriority w:val="11"/>
    <w:qFormat/>
    <w:pPr>
      <w:spacing w:before="200"/>
    </w:pPr>
    <w:rPr>
      <w:sz w:val="24"/>
      <w:szCs w:val="24"/>
    </w:rPr>
  </w:style>
  <w:style w:type="character" w:styleId="1050" w:customStyle="1">
    <w:name w:val="Подзаголовок Знак"/>
    <w:basedOn w:val="816"/>
    <w:link w:val="1049"/>
    <w:uiPriority w:val="11"/>
    <w:rPr>
      <w:sz w:val="24"/>
      <w:szCs w:val="24"/>
    </w:rPr>
  </w:style>
  <w:style w:type="paragraph" w:styleId="1051">
    <w:name w:val="Header"/>
    <w:basedOn w:val="806"/>
    <w:link w:val="105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52" w:customStyle="1">
    <w:name w:val="Верхний колонтитул Знак"/>
    <w:basedOn w:val="816"/>
    <w:link w:val="1051"/>
    <w:uiPriority w:val="99"/>
  </w:style>
  <w:style w:type="paragraph" w:styleId="1053">
    <w:name w:val="Footer"/>
    <w:basedOn w:val="806"/>
    <w:link w:val="105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54" w:customStyle="1">
    <w:name w:val="Нижний колонтитул Знак"/>
    <w:basedOn w:val="816"/>
    <w:link w:val="1053"/>
    <w:uiPriority w:val="99"/>
  </w:style>
  <w:style w:type="paragraph" w:styleId="1055" w:customStyle="1">
    <w:name w:val="Основной текст (центр/одинарный)"/>
    <w:basedOn w:val="1031"/>
    <w:link w:val="1056"/>
    <w:pPr>
      <w:ind w:firstLine="0"/>
      <w:jc w:val="center"/>
      <w:spacing w:before="120" w:after="120"/>
    </w:pPr>
  </w:style>
  <w:style w:type="character" w:styleId="1056" w:customStyle="1">
    <w:name w:val="Основной текст (центр/одинарный) Знак"/>
    <w:link w:val="1055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1057" w:customStyle="1">
    <w:name w:val="Титульный лист - заголовок документа"/>
    <w:basedOn w:val="806"/>
    <w:pPr>
      <w:jc w:val="center"/>
      <w:spacing w:after="0" w:line="240" w:lineRule="auto"/>
    </w:pPr>
    <w:rPr>
      <w:rFonts w:eastAsia="Times New Roman" w:cs="Times New Roman"/>
      <w:b/>
      <w:color w:val="000000"/>
      <w:sz w:val="36"/>
      <w:szCs w:val="20"/>
      <w:lang w:eastAsia="ru-RU"/>
    </w:rPr>
  </w:style>
  <w:style w:type="paragraph" w:styleId="1058" w:customStyle="1">
    <w:name w:val="Титульный лист - название документа"/>
    <w:basedOn w:val="806"/>
    <w:link w:val="1059"/>
    <w:pPr>
      <w:jc w:val="center"/>
      <w:spacing w:after="0" w:line="240" w:lineRule="auto"/>
    </w:pPr>
    <w:rPr>
      <w:rFonts w:eastAsia="Times New Roman" w:cs="Times New Roman"/>
      <w:color w:val="000000"/>
      <w:sz w:val="36"/>
      <w:szCs w:val="20"/>
      <w:lang w:eastAsia="ru-RU"/>
    </w:rPr>
  </w:style>
  <w:style w:type="character" w:styleId="1059" w:customStyle="1">
    <w:name w:val="Титульный лист - название документа Знак"/>
    <w:link w:val="1058"/>
    <w:rPr>
      <w:rFonts w:ascii="Times New Roman" w:hAnsi="Times New Roman" w:eastAsia="Times New Roman" w:cs="Times New Roman"/>
      <w:color w:val="000000"/>
      <w:sz w:val="36"/>
      <w:szCs w:val="20"/>
      <w:lang w:eastAsia="ru-RU"/>
    </w:rPr>
  </w:style>
  <w:style w:type="paragraph" w:styleId="1060" w:customStyle="1">
    <w:name w:val="Заголовок без нумерации"/>
    <w:basedOn w:val="807"/>
    <w:qFormat/>
    <w:pPr>
      <w:numPr>
        <w:ilvl w:val="0"/>
        <w:numId w:val="0"/>
      </w:numPr>
    </w:pPr>
  </w:style>
  <w:style w:type="character" w:styleId="1061">
    <w:name w:val="FollowedHyperlink"/>
    <w:basedOn w:val="816"/>
    <w:uiPriority w:val="99"/>
    <w:semiHidden/>
    <w:unhideWhenUsed/>
    <w:rPr>
      <w:color w:val="800080" w:themeColor="followedHyperlink"/>
      <w:u w:val="single"/>
    </w:rPr>
  </w:style>
  <w:style w:type="character" w:styleId="1062" w:customStyle="1">
    <w:name w:val="Таблица (12) - осн. текст Знак"/>
    <w:link w:val="1038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1063" w:customStyle="1">
    <w:name w:val="Рисунок-Наименование"/>
    <w:basedOn w:val="1043"/>
    <w:qFormat/>
    <w:pPr>
      <w:jc w:val="center"/>
      <w:spacing w:before="120"/>
    </w:pPr>
    <w:rPr>
      <w:lang w:eastAsia="ru-RU"/>
    </w:rPr>
  </w:style>
  <w:style w:type="paragraph" w:styleId="1064" w:customStyle="1">
    <w:name w:val="Рисунок"/>
    <w:basedOn w:val="806"/>
    <w:qFormat/>
    <w:pPr>
      <w:jc w:val="center"/>
      <w:keepNext/>
      <w:spacing w:before="240" w:after="0" w:line="240" w:lineRule="auto"/>
    </w:pPr>
    <w:rPr>
      <w:rFonts w:cs="Times New Roman"/>
      <w:sz w:val="24"/>
      <w:lang w:eastAsia="ru-RU"/>
    </w:rPr>
  </w:style>
  <w:style w:type="paragraph" w:styleId="1065">
    <w:name w:val="Revision"/>
    <w:hidden/>
    <w:uiPriority w:val="99"/>
    <w:semiHidden/>
    <w:pPr>
      <w:spacing w:after="0" w:line="240" w:lineRule="auto"/>
    </w:pPr>
  </w:style>
  <w:style w:type="character" w:styleId="1066" w:customStyle="1">
    <w:name w:val="markdown-word"/>
    <w:basedOn w:val="816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roskazna.gov.ru/gis/sistema-obespecheniya-bezopasnosti-informacii-fk/poib-sobi-pamyatki-instrukcii" TargetMode="External"/><Relationship Id="rId13" Type="http://schemas.openxmlformats.org/officeDocument/2006/relationships/hyperlink" Target="https://roskazna.gov.ru/storage/page-files/678/&#1056;&#1091;&#1082;&#1086;&#1074;&#1086;&#1076;&#1089;&#1090;&#1074;&#1086;%20&#1087;&#1086;&#1083;&#1100;&#1079;&#1086;&#1074;&#1072;&#1090;&#1077;&#1083;&#1103;%20&#1040;&#1056;&#1052;.docx%23" TargetMode="External"/><Relationship Id="rId14" Type="http://schemas.openxmlformats.org/officeDocument/2006/relationships/hyperlink" Target="https://roskazna.gov.ru/gis/sistema-obespecheniya-bezopasnosti-informacii-fk/poib-sobi-pamyatki-instrukcii" TargetMode="External"/><Relationship Id="rId15" Type="http://schemas.openxmlformats.org/officeDocument/2006/relationships/hyperlink" Target="mailto:support_eb@roskazna.ru" TargetMode="External"/><Relationship Id="rId16" Type="http://schemas.openxmlformats.org/officeDocument/2006/relationships/hyperlink" Target="https://roskazna.gov.ru/gis/ehlektronnyj-byudzhet/edinyj-portal-byudzhetnoj-sistemy-rf" TargetMode="External"/><Relationship Id="rId17" Type="http://schemas.openxmlformats.org/officeDocument/2006/relationships/hyperlink" Target="https://eb.cert.roskazna.ru/" TargetMode="External"/><Relationship Id="rId18" Type="http://schemas.openxmlformats.org/officeDocument/2006/relationships/image" Target="media/image1.png"/><Relationship Id="rId19" Type="http://schemas.openxmlformats.org/officeDocument/2006/relationships/image" Target="media/image2.png"/><Relationship Id="rId20" Type="http://schemas.openxmlformats.org/officeDocument/2006/relationships/image" Target="media/image3.png"/><Relationship Id="rId21" Type="http://schemas.openxmlformats.org/officeDocument/2006/relationships/image" Target="media/image4.png"/><Relationship Id="rId22" Type="http://schemas.openxmlformats.org/officeDocument/2006/relationships/image" Target="media/image5.png"/><Relationship Id="rId23" Type="http://schemas.openxmlformats.org/officeDocument/2006/relationships/image" Target="media/image6.png"/><Relationship Id="rId24" Type="http://schemas.openxmlformats.org/officeDocument/2006/relationships/image" Target="media/image7.png"/><Relationship Id="rId25" Type="http://schemas.openxmlformats.org/officeDocument/2006/relationships/image" Target="media/image8.png"/><Relationship Id="rId26" Type="http://schemas.openxmlformats.org/officeDocument/2006/relationships/image" Target="media/image9.png"/><Relationship Id="rId27" Type="http://schemas.openxmlformats.org/officeDocument/2006/relationships/image" Target="media/image10.png"/><Relationship Id="rId28" Type="http://schemas.openxmlformats.org/officeDocument/2006/relationships/image" Target="media/image11.png"/><Relationship Id="rId29" Type="http://schemas.openxmlformats.org/officeDocument/2006/relationships/image" Target="media/image12.png"/><Relationship Id="rId30" Type="http://schemas.openxmlformats.org/officeDocument/2006/relationships/image" Target="media/image13.png"/><Relationship Id="rId31" Type="http://schemas.openxmlformats.org/officeDocument/2006/relationships/image" Target="media/image14.png"/><Relationship Id="rId32" Type="http://schemas.openxmlformats.org/officeDocument/2006/relationships/image" Target="media/image15.png"/><Relationship Id="rId33" Type="http://schemas.openxmlformats.org/officeDocument/2006/relationships/image" Target="media/image16.png"/><Relationship Id="rId34" Type="http://schemas.openxmlformats.org/officeDocument/2006/relationships/image" Target="media/image17.png"/><Relationship Id="rId35" Type="http://schemas.openxmlformats.org/officeDocument/2006/relationships/image" Target="media/image18.png"/><Relationship Id="rId36" Type="http://schemas.openxmlformats.org/officeDocument/2006/relationships/image" Target="media/image19.png"/><Relationship Id="rId37" Type="http://schemas.openxmlformats.org/officeDocument/2006/relationships/image" Target="media/image20.png"/><Relationship Id="rId38" Type="http://schemas.openxmlformats.org/officeDocument/2006/relationships/image" Target="media/image21.png"/><Relationship Id="rId39" Type="http://schemas.openxmlformats.org/officeDocument/2006/relationships/image" Target="media/image22.png"/><Relationship Id="rId40" Type="http://schemas.openxmlformats.org/officeDocument/2006/relationships/image" Target="media/image23.png"/><Relationship Id="rId41" Type="http://schemas.openxmlformats.org/officeDocument/2006/relationships/image" Target="media/image24.png"/><Relationship Id="rId42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C3238-4541-4D3A-8FC0-9037C8C07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world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Бобоедова Екатерина Сергеевна</dc:creator>
  <cp:lastModifiedBy>Маслехин Борис Сергеевич</cp:lastModifiedBy>
  <cp:revision>310</cp:revision>
  <dcterms:created xsi:type="dcterms:W3CDTF">2025-02-05T09:03:00Z</dcterms:created>
  <dcterms:modified xsi:type="dcterms:W3CDTF">2026-08-13T09:25:15Z</dcterms:modified>
</cp:coreProperties>
</file>